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7D46" w14:textId="217FE809" w:rsidR="00C722EF" w:rsidRDefault="00C722EF" w:rsidP="00C722EF">
      <w:pPr>
        <w:ind w:left="360"/>
        <w:jc w:val="center"/>
        <w:rPr>
          <w:rFonts w:ascii="Times New Roman" w:hAnsi="Times New Roman" w:cs="Times New Roman (Body CS)"/>
          <w:b/>
        </w:rPr>
      </w:pPr>
      <w:r w:rsidRPr="00C722EF">
        <w:rPr>
          <w:rFonts w:ascii="Times New Roman" w:hAnsi="Times New Roman" w:cs="Times New Roman (Body CS)"/>
          <w:b/>
        </w:rPr>
        <w:t>Agency and the Basing Relation</w:t>
      </w:r>
    </w:p>
    <w:p w14:paraId="42F56DB2" w14:textId="5C7E29FE" w:rsidR="00C722EF" w:rsidRDefault="00C722EF" w:rsidP="00C722EF">
      <w:pPr>
        <w:ind w:left="360"/>
        <w:jc w:val="center"/>
        <w:rPr>
          <w:rFonts w:ascii="Times New Roman" w:hAnsi="Times New Roman" w:cs="Times New Roman (Body CS)"/>
          <w:b/>
        </w:rPr>
      </w:pPr>
    </w:p>
    <w:p w14:paraId="6F1DD76D" w14:textId="2B020388" w:rsidR="00C722EF" w:rsidRDefault="00C722EF" w:rsidP="00C722EF">
      <w:pPr>
        <w:ind w:left="360"/>
        <w:jc w:val="center"/>
        <w:rPr>
          <w:rFonts w:ascii="Times New Roman" w:hAnsi="Times New Roman" w:cs="Times New Roman (Body CS)"/>
          <w:b/>
        </w:rPr>
      </w:pPr>
      <w:r>
        <w:rPr>
          <w:rFonts w:ascii="Times New Roman" w:hAnsi="Times New Roman" w:cs="Times New Roman (Body CS)"/>
          <w:b/>
        </w:rPr>
        <w:t>Ram Neta</w:t>
      </w:r>
    </w:p>
    <w:p w14:paraId="074E4237" w14:textId="2D2ACF0C" w:rsidR="00C722EF" w:rsidRDefault="00C722EF" w:rsidP="00C722EF">
      <w:pPr>
        <w:ind w:left="360"/>
        <w:jc w:val="center"/>
        <w:rPr>
          <w:rFonts w:ascii="Times New Roman" w:hAnsi="Times New Roman" w:cs="Times New Roman (Body CS)"/>
          <w:b/>
        </w:rPr>
      </w:pPr>
      <w:r>
        <w:rPr>
          <w:rFonts w:ascii="Times New Roman" w:hAnsi="Times New Roman" w:cs="Times New Roman (Body CS)"/>
          <w:b/>
        </w:rPr>
        <w:t>University of North Carolina, Chapel Hill</w:t>
      </w:r>
    </w:p>
    <w:p w14:paraId="5E55CBA3" w14:textId="1C72199D" w:rsidR="00C722EF" w:rsidRDefault="00C722EF" w:rsidP="00C722EF">
      <w:pPr>
        <w:ind w:left="360"/>
        <w:jc w:val="center"/>
        <w:rPr>
          <w:rFonts w:ascii="Times New Roman" w:hAnsi="Times New Roman" w:cs="Times New Roman (Body CS)"/>
          <w:b/>
        </w:rPr>
      </w:pPr>
    </w:p>
    <w:p w14:paraId="604D5701" w14:textId="3CF4813D" w:rsidR="00C722EF" w:rsidRDefault="00C722EF" w:rsidP="00C722EF">
      <w:pPr>
        <w:ind w:left="360"/>
        <w:rPr>
          <w:rFonts w:ascii="Times New Roman" w:hAnsi="Times New Roman" w:cs="Times New Roman (Body CS)"/>
        </w:rPr>
      </w:pPr>
      <w:r>
        <w:rPr>
          <w:rFonts w:ascii="Times New Roman" w:hAnsi="Times New Roman" w:cs="Times New Roman (Body CS)"/>
        </w:rPr>
        <w:t xml:space="preserve">Abstract:  If agency is understood as the capacity to respond to our reasons, then agency is exercised not merely in our intentional actions, but also in our desires, resentments, beliefs, and </w:t>
      </w:r>
      <w:proofErr w:type="spellStart"/>
      <w:r>
        <w:rPr>
          <w:rFonts w:ascii="Times New Roman" w:hAnsi="Times New Roman" w:cs="Times New Roman (Body CS)"/>
        </w:rPr>
        <w:t>credal</w:t>
      </w:r>
      <w:proofErr w:type="spellEnd"/>
      <w:r>
        <w:rPr>
          <w:rFonts w:ascii="Times New Roman" w:hAnsi="Times New Roman" w:cs="Times New Roman (Body CS)"/>
        </w:rPr>
        <w:t xml:space="preserve"> states.  But if agency is understood as the capacity to </w:t>
      </w:r>
      <w:r w:rsidRPr="00C722EF">
        <w:rPr>
          <w:rFonts w:ascii="Times New Roman" w:hAnsi="Times New Roman" w:cs="Times New Roman (Body CS)"/>
          <w:i/>
        </w:rPr>
        <w:t>act</w:t>
      </w:r>
      <w:r>
        <w:rPr>
          <w:rFonts w:ascii="Times New Roman" w:hAnsi="Times New Roman" w:cs="Times New Roman (Body CS)"/>
        </w:rPr>
        <w:t xml:space="preserve"> in light of our reasons</w:t>
      </w:r>
      <w:r w:rsidR="000031F6">
        <w:rPr>
          <w:rFonts w:ascii="Times New Roman" w:hAnsi="Times New Roman" w:cs="Times New Roman (Body CS)"/>
        </w:rPr>
        <w:t>, can it still include all these states among its exercises</w:t>
      </w:r>
      <w:r>
        <w:rPr>
          <w:rFonts w:ascii="Times New Roman" w:hAnsi="Times New Roman" w:cs="Times New Roman (Body CS)"/>
        </w:rPr>
        <w:t xml:space="preserve">?  </w:t>
      </w:r>
      <w:r w:rsidR="000031F6">
        <w:rPr>
          <w:rFonts w:ascii="Times New Roman" w:hAnsi="Times New Roman" w:cs="Times New Roman (Body CS)"/>
        </w:rPr>
        <w:t xml:space="preserve">Kieran </w:t>
      </w:r>
      <w:proofErr w:type="spellStart"/>
      <w:r w:rsidR="000031F6">
        <w:rPr>
          <w:rFonts w:ascii="Times New Roman" w:hAnsi="Times New Roman" w:cs="Times New Roman (Body CS)"/>
        </w:rPr>
        <w:t>Setiya</w:t>
      </w:r>
      <w:proofErr w:type="spellEnd"/>
      <w:r w:rsidR="000031F6">
        <w:rPr>
          <w:rFonts w:ascii="Times New Roman" w:hAnsi="Times New Roman" w:cs="Times New Roman (Body CS)"/>
        </w:rPr>
        <w:t xml:space="preserve"> has recently argued that it cannot.  Our doxastic responsiveness to our reasons, he argues, involves nothing more than the conjunction of our doxastic responses, on the one hand, and our beliefs about those reasons, on the other.  Thus, he concludes, doxastic responsiveness does not involve an exercise of agency, because it does not involve </w:t>
      </w:r>
      <w:r w:rsidR="000031F6">
        <w:rPr>
          <w:rFonts w:ascii="Times New Roman" w:hAnsi="Times New Roman" w:cs="Times New Roman (Body CS)"/>
          <w:i/>
        </w:rPr>
        <w:t xml:space="preserve">causing </w:t>
      </w:r>
      <w:r w:rsidR="000031F6" w:rsidRPr="000031F6">
        <w:rPr>
          <w:rFonts w:ascii="Times New Roman" w:hAnsi="Times New Roman" w:cs="Times New Roman (Body CS)"/>
        </w:rPr>
        <w:t>anything</w:t>
      </w:r>
      <w:r w:rsidR="000031F6">
        <w:rPr>
          <w:rFonts w:ascii="Times New Roman" w:hAnsi="Times New Roman" w:cs="Times New Roman (Body CS)"/>
        </w:rPr>
        <w:t xml:space="preserve">.  The present paper rebuts </w:t>
      </w:r>
      <w:proofErr w:type="spellStart"/>
      <w:r w:rsidR="000031F6">
        <w:rPr>
          <w:rFonts w:ascii="Times New Roman" w:hAnsi="Times New Roman" w:cs="Times New Roman (Body CS)"/>
        </w:rPr>
        <w:t>Setiya’s</w:t>
      </w:r>
      <w:proofErr w:type="spellEnd"/>
      <w:r w:rsidR="000031F6">
        <w:rPr>
          <w:rFonts w:ascii="Times New Roman" w:hAnsi="Times New Roman" w:cs="Times New Roman (Body CS)"/>
        </w:rPr>
        <w:t xml:space="preserve"> argument for this </w:t>
      </w:r>
      <w:proofErr w:type="gramStart"/>
      <w:r w:rsidR="000031F6">
        <w:rPr>
          <w:rFonts w:ascii="Times New Roman" w:hAnsi="Times New Roman" w:cs="Times New Roman (Body CS)"/>
        </w:rPr>
        <w:t>conclusion, and</w:t>
      </w:r>
      <w:proofErr w:type="gramEnd"/>
      <w:r w:rsidR="000031F6">
        <w:rPr>
          <w:rFonts w:ascii="Times New Roman" w:hAnsi="Times New Roman" w:cs="Times New Roman (Body CS)"/>
        </w:rPr>
        <w:t xml:space="preserve"> argues that the very same kind of agency that we find in intentional action can also be found in beliefs and other attitudes.</w:t>
      </w:r>
    </w:p>
    <w:p w14:paraId="48938C08" w14:textId="5F6FE080" w:rsidR="000031F6" w:rsidRDefault="000031F6" w:rsidP="00C722EF">
      <w:pPr>
        <w:ind w:left="360"/>
        <w:rPr>
          <w:rFonts w:ascii="Times New Roman" w:hAnsi="Times New Roman" w:cs="Times New Roman (Body CS)"/>
        </w:rPr>
      </w:pPr>
    </w:p>
    <w:p w14:paraId="62048748" w14:textId="62C6CDDD" w:rsidR="000031F6" w:rsidRDefault="000031F6" w:rsidP="00C722EF">
      <w:pPr>
        <w:ind w:left="360"/>
        <w:rPr>
          <w:rFonts w:ascii="Times New Roman" w:hAnsi="Times New Roman" w:cs="Times New Roman (Body CS)"/>
        </w:rPr>
      </w:pPr>
    </w:p>
    <w:p w14:paraId="75E74A67" w14:textId="28B5E78E" w:rsidR="00B408EF" w:rsidRPr="00FB4B49" w:rsidRDefault="000031F6" w:rsidP="00B408EF">
      <w:pPr>
        <w:pStyle w:val="ListParagraph"/>
        <w:numPr>
          <w:ilvl w:val="0"/>
          <w:numId w:val="3"/>
        </w:numPr>
        <w:rPr>
          <w:rFonts w:ascii="Times New Roman" w:hAnsi="Times New Roman" w:cs="Times New Roman (Body CS)"/>
          <w:b/>
        </w:rPr>
      </w:pPr>
      <w:r w:rsidRPr="00FB4B49">
        <w:rPr>
          <w:rFonts w:ascii="Times New Roman" w:hAnsi="Times New Roman" w:cs="Times New Roman (Body CS)"/>
          <w:b/>
        </w:rPr>
        <w:t>Introduction</w:t>
      </w:r>
    </w:p>
    <w:p w14:paraId="6580EB01" w14:textId="52000A00" w:rsidR="00B408EF" w:rsidRDefault="00B408EF" w:rsidP="00B408EF">
      <w:pPr>
        <w:rPr>
          <w:rFonts w:ascii="Times New Roman" w:hAnsi="Times New Roman" w:cs="Times New Roman (Body CS)"/>
        </w:rPr>
      </w:pPr>
    </w:p>
    <w:p w14:paraId="7FB91BDB" w14:textId="7F2A3A1C" w:rsidR="00A632B1" w:rsidRDefault="00A632B1" w:rsidP="00A632B1">
      <w:pPr>
        <w:ind w:firstLine="720"/>
        <w:rPr>
          <w:rFonts w:ascii="Times New Roman" w:hAnsi="Times New Roman" w:cs="Times New Roman (Body CS)"/>
        </w:rPr>
      </w:pPr>
      <w:r>
        <w:rPr>
          <w:rFonts w:ascii="Times New Roman" w:hAnsi="Times New Roman" w:cs="Times New Roman (Body CS)"/>
        </w:rPr>
        <w:t xml:space="preserve">If I offer you enough money to believe that Trump is a great president, you might try to do various things to get yourself to hold that belief.  But even if you succeed, you will not thereby have voluntarily believed that Trump is a great president:  you will only have voluntarily </w:t>
      </w:r>
      <w:r w:rsidRPr="00A632B1">
        <w:rPr>
          <w:rFonts w:ascii="Times New Roman" w:hAnsi="Times New Roman" w:cs="Times New Roman (Body CS)"/>
          <w:i/>
        </w:rPr>
        <w:t>gotten yourself</w:t>
      </w:r>
      <w:r>
        <w:rPr>
          <w:rFonts w:ascii="Times New Roman" w:hAnsi="Times New Roman" w:cs="Times New Roman (Body CS)"/>
        </w:rPr>
        <w:t xml:space="preserve"> to believe it.  To believe is not to choose, even if some beliefs foreseeably result </w:t>
      </w:r>
      <w:r w:rsidR="00A710FF">
        <w:rPr>
          <w:rFonts w:ascii="Times New Roman" w:hAnsi="Times New Roman" w:cs="Times New Roman (Body CS)"/>
        </w:rPr>
        <w:t>from choices.</w:t>
      </w:r>
      <w:r w:rsidR="006C3058">
        <w:rPr>
          <w:rStyle w:val="FootnoteReference"/>
          <w:rFonts w:ascii="Times New Roman" w:hAnsi="Times New Roman" w:cs="Times New Roman (Body CS)"/>
        </w:rPr>
        <w:footnoteReference w:id="1"/>
      </w:r>
      <w:r w:rsidR="00A710FF">
        <w:rPr>
          <w:rFonts w:ascii="Times New Roman" w:hAnsi="Times New Roman" w:cs="Times New Roman (Body CS)"/>
        </w:rPr>
        <w:t xml:space="preserve">  Given that belief is not choice, how </w:t>
      </w:r>
      <w:r w:rsidR="00A27669">
        <w:rPr>
          <w:rFonts w:ascii="Times New Roman" w:hAnsi="Times New Roman" w:cs="Times New Roman (Body CS)"/>
        </w:rPr>
        <w:t>are we to understand the way in which we are</w:t>
      </w:r>
      <w:r w:rsidR="00A710FF">
        <w:rPr>
          <w:rFonts w:ascii="Times New Roman" w:hAnsi="Times New Roman" w:cs="Times New Roman (Body CS)"/>
        </w:rPr>
        <w:t xml:space="preserve"> </w:t>
      </w:r>
      <w:r w:rsidR="00A27669">
        <w:rPr>
          <w:rFonts w:ascii="Times New Roman" w:hAnsi="Times New Roman" w:cs="Times New Roman (Body CS)"/>
        </w:rPr>
        <w:t>responsible, or answerable,</w:t>
      </w:r>
      <w:r w:rsidR="00A710FF">
        <w:rPr>
          <w:rFonts w:ascii="Times New Roman" w:hAnsi="Times New Roman" w:cs="Times New Roman (Body CS)"/>
        </w:rPr>
        <w:t xml:space="preserve"> for our beliefs?  How are we to understand the kind of agency that we exercise in belief?</w:t>
      </w:r>
    </w:p>
    <w:p w14:paraId="7022C545" w14:textId="00F6D9F7" w:rsidR="00A27669" w:rsidRDefault="00A27669" w:rsidP="00A632B1">
      <w:pPr>
        <w:ind w:firstLine="720"/>
        <w:rPr>
          <w:rFonts w:ascii="Times New Roman" w:hAnsi="Times New Roman" w:cs="Times New Roman (Body CS)"/>
        </w:rPr>
      </w:pPr>
    </w:p>
    <w:p w14:paraId="191477D4" w14:textId="3BE2932F" w:rsidR="00A27669" w:rsidRDefault="00A27669" w:rsidP="00A632B1">
      <w:pPr>
        <w:ind w:firstLine="720"/>
        <w:rPr>
          <w:rFonts w:ascii="Times New Roman" w:hAnsi="Times New Roman" w:cs="Times New Roman (Body CS)"/>
        </w:rPr>
      </w:pPr>
      <w:r>
        <w:rPr>
          <w:rFonts w:ascii="Times New Roman" w:hAnsi="Times New Roman" w:cs="Times New Roman (Body CS)"/>
        </w:rPr>
        <w:t>The question is not new, and many different answers have been proposed.  According to some philosophers, we are responsible for our beliefs in the same way that we are responsible for our front yard:  it is our responsibility to see to their proper maintenance.</w:t>
      </w:r>
      <w:r w:rsidR="00CB2BD3">
        <w:rPr>
          <w:rStyle w:val="FootnoteReference"/>
          <w:rFonts w:ascii="Times New Roman" w:hAnsi="Times New Roman" w:cs="Times New Roman (Body CS)"/>
        </w:rPr>
        <w:footnoteReference w:id="2"/>
      </w:r>
      <w:r>
        <w:rPr>
          <w:rFonts w:ascii="Times New Roman" w:hAnsi="Times New Roman" w:cs="Times New Roman (Body CS)"/>
        </w:rPr>
        <w:t xml:space="preserve">  According to other philosophers, we are responsible for our beliefs in the same way that we are responsible for our plans:  we exercise our will in forming and sustaining </w:t>
      </w:r>
      <w:r w:rsidR="00FB4B49">
        <w:rPr>
          <w:rFonts w:ascii="Times New Roman" w:hAnsi="Times New Roman" w:cs="Times New Roman (Body CS)"/>
        </w:rPr>
        <w:t>them.</w:t>
      </w:r>
      <w:r w:rsidR="00CB2BD3">
        <w:rPr>
          <w:rStyle w:val="FootnoteReference"/>
          <w:rFonts w:ascii="Times New Roman" w:hAnsi="Times New Roman" w:cs="Times New Roman (Body CS)"/>
        </w:rPr>
        <w:footnoteReference w:id="3"/>
      </w:r>
      <w:r w:rsidR="00FB4B49">
        <w:rPr>
          <w:rFonts w:ascii="Times New Roman" w:hAnsi="Times New Roman" w:cs="Times New Roman (Body CS)"/>
        </w:rPr>
        <w:t xml:space="preserve">  And a</w:t>
      </w:r>
      <w:r>
        <w:rPr>
          <w:rFonts w:ascii="Times New Roman" w:hAnsi="Times New Roman" w:cs="Times New Roman (Body CS)"/>
        </w:rPr>
        <w:t>ccording to still other philosophers, we are responsible for our beliefs in the same way that we are responsible for our reactive attitudes:  we are responsible for accepting the evaluations expressed by them.</w:t>
      </w:r>
      <w:r w:rsidR="00CB2BD3">
        <w:rPr>
          <w:rStyle w:val="FootnoteReference"/>
          <w:rFonts w:ascii="Times New Roman" w:hAnsi="Times New Roman" w:cs="Times New Roman (Body CS)"/>
        </w:rPr>
        <w:footnoteReference w:id="4"/>
      </w:r>
      <w:r>
        <w:rPr>
          <w:rFonts w:ascii="Times New Roman" w:hAnsi="Times New Roman" w:cs="Times New Roman (Body CS)"/>
        </w:rPr>
        <w:t xml:space="preserve">  But though philosophers have offered many different answers to the </w:t>
      </w:r>
      <w:proofErr w:type="spellStart"/>
      <w:r>
        <w:rPr>
          <w:rFonts w:ascii="Times New Roman" w:hAnsi="Times New Roman" w:cs="Times New Roman (Body CS)"/>
        </w:rPr>
        <w:t>aforestated</w:t>
      </w:r>
      <w:proofErr w:type="spellEnd"/>
      <w:r>
        <w:rPr>
          <w:rFonts w:ascii="Times New Roman" w:hAnsi="Times New Roman" w:cs="Times New Roman (Body CS)"/>
        </w:rPr>
        <w:t xml:space="preserve"> question, few have challenged the question as resting on a false presupposition.  </w:t>
      </w:r>
    </w:p>
    <w:p w14:paraId="02C6740C" w14:textId="125E8F3C" w:rsidR="00A27669" w:rsidRDefault="00A27669" w:rsidP="00A632B1">
      <w:pPr>
        <w:ind w:firstLine="720"/>
        <w:rPr>
          <w:rFonts w:ascii="Times New Roman" w:hAnsi="Times New Roman" w:cs="Times New Roman (Body CS)"/>
        </w:rPr>
      </w:pPr>
    </w:p>
    <w:p w14:paraId="50A99DFB" w14:textId="587443EE" w:rsidR="00A27669" w:rsidRDefault="00A27669" w:rsidP="00A632B1">
      <w:pPr>
        <w:ind w:firstLine="720"/>
        <w:rPr>
          <w:rFonts w:ascii="Times New Roman" w:hAnsi="Times New Roman" w:cs="Times New Roman (Body CS)"/>
        </w:rPr>
      </w:pPr>
      <w:r>
        <w:rPr>
          <w:rFonts w:ascii="Times New Roman" w:hAnsi="Times New Roman" w:cs="Times New Roman (Body CS)"/>
        </w:rPr>
        <w:t xml:space="preserve">Kieran </w:t>
      </w:r>
      <w:proofErr w:type="spellStart"/>
      <w:r>
        <w:rPr>
          <w:rFonts w:ascii="Times New Roman" w:hAnsi="Times New Roman" w:cs="Times New Roman (Body CS)"/>
        </w:rPr>
        <w:t>Setiya</w:t>
      </w:r>
      <w:proofErr w:type="spellEnd"/>
      <w:r>
        <w:rPr>
          <w:rFonts w:ascii="Times New Roman" w:hAnsi="Times New Roman" w:cs="Times New Roman (Body CS)"/>
        </w:rPr>
        <w:t xml:space="preserve"> has issued just such a challenge.  According to </w:t>
      </w:r>
      <w:proofErr w:type="spellStart"/>
      <w:r>
        <w:rPr>
          <w:rFonts w:ascii="Times New Roman" w:hAnsi="Times New Roman" w:cs="Times New Roman (Body CS)"/>
        </w:rPr>
        <w:t>Setiya</w:t>
      </w:r>
      <w:proofErr w:type="spellEnd"/>
      <w:r>
        <w:rPr>
          <w:rFonts w:ascii="Times New Roman" w:hAnsi="Times New Roman" w:cs="Times New Roman (Body CS)"/>
        </w:rPr>
        <w:t xml:space="preserve">, the kind of agency that we exercise in belief consists of </w:t>
      </w:r>
      <w:r w:rsidRPr="00A27669">
        <w:rPr>
          <w:rFonts w:ascii="Times New Roman" w:hAnsi="Times New Roman" w:cs="Times New Roman (Body CS)"/>
          <w:i/>
        </w:rPr>
        <w:t>nothing more substantial</w:t>
      </w:r>
      <w:r w:rsidRPr="00A27669">
        <w:rPr>
          <w:rFonts w:ascii="Times New Roman" w:hAnsi="Times New Roman" w:cs="Times New Roman (Body CS)"/>
        </w:rPr>
        <w:t xml:space="preserve"> than</w:t>
      </w:r>
      <w:r>
        <w:rPr>
          <w:rFonts w:ascii="Times New Roman" w:hAnsi="Times New Roman" w:cs="Times New Roman (Body CS)"/>
        </w:rPr>
        <w:t xml:space="preserve"> the fact that we not only hold beliefs, but we also hold beliefs about the reasons we have to hold those very beliefs.  </w:t>
      </w:r>
      <w:r w:rsidR="00D60081">
        <w:rPr>
          <w:rFonts w:ascii="Times New Roman" w:hAnsi="Times New Roman" w:cs="Times New Roman (Body CS)"/>
        </w:rPr>
        <w:t xml:space="preserve">To believe a proposition P on the basis of a reason R is </w:t>
      </w:r>
      <w:r w:rsidR="004F1623">
        <w:rPr>
          <w:rFonts w:ascii="Times New Roman" w:hAnsi="Times New Roman" w:cs="Times New Roman (Body CS)"/>
        </w:rPr>
        <w:t xml:space="preserve">merely </w:t>
      </w:r>
      <w:r w:rsidR="00D60081">
        <w:rPr>
          <w:rFonts w:ascii="Times New Roman" w:hAnsi="Times New Roman" w:cs="Times New Roman (Body CS)"/>
        </w:rPr>
        <w:t xml:space="preserve">to believe a conjunction of the form </w:t>
      </w:r>
      <w:r w:rsidR="00D60081" w:rsidRPr="00D60081">
        <w:rPr>
          <w:rFonts w:ascii="Times New Roman" w:hAnsi="Times New Roman" w:cs="Times New Roman (Body CS)"/>
          <w:i/>
        </w:rPr>
        <w:t>P, and the fact that R is a good reason for P</w:t>
      </w:r>
      <w:r w:rsidR="00D60081">
        <w:rPr>
          <w:rFonts w:ascii="Times New Roman" w:hAnsi="Times New Roman" w:cs="Times New Roman (Body CS)"/>
        </w:rPr>
        <w:t xml:space="preserve">.  There is nothing more to epistemic agency than that.  In </w:t>
      </w:r>
      <w:r w:rsidR="00D60081">
        <w:rPr>
          <w:rFonts w:ascii="Times New Roman" w:hAnsi="Times New Roman" w:cs="Times New Roman (Body CS)"/>
        </w:rPr>
        <w:lastRenderedPageBreak/>
        <w:t xml:space="preserve">particular, epistemic agency differs from practical agency in that the former does not involve </w:t>
      </w:r>
      <w:r w:rsidR="00D60081" w:rsidRPr="00D60081">
        <w:rPr>
          <w:rFonts w:ascii="Times New Roman" w:hAnsi="Times New Roman" w:cs="Times New Roman (Body CS)"/>
          <w:i/>
        </w:rPr>
        <w:t>causing</w:t>
      </w:r>
      <w:r w:rsidR="00D60081">
        <w:rPr>
          <w:rFonts w:ascii="Times New Roman" w:hAnsi="Times New Roman" w:cs="Times New Roman (Body CS)"/>
        </w:rPr>
        <w:t xml:space="preserve"> anything.</w:t>
      </w:r>
    </w:p>
    <w:p w14:paraId="262D393A" w14:textId="2FF9272F" w:rsidR="00D60081" w:rsidRDefault="00D60081" w:rsidP="00A632B1">
      <w:pPr>
        <w:ind w:firstLine="720"/>
        <w:rPr>
          <w:rFonts w:ascii="Times New Roman" w:hAnsi="Times New Roman" w:cs="Times New Roman (Body CS)"/>
        </w:rPr>
      </w:pPr>
    </w:p>
    <w:p w14:paraId="0F33CAD6" w14:textId="39D0B5F6" w:rsidR="00FB4B49" w:rsidRDefault="00D60081" w:rsidP="00FB4B49">
      <w:pPr>
        <w:ind w:firstLine="720"/>
        <w:rPr>
          <w:rFonts w:ascii="Times New Roman" w:hAnsi="Times New Roman" w:cs="Times New Roman (Body CS)"/>
        </w:rPr>
      </w:pPr>
      <w:r>
        <w:rPr>
          <w:rFonts w:ascii="Times New Roman" w:hAnsi="Times New Roman" w:cs="Times New Roman (Body CS)"/>
        </w:rPr>
        <w:t xml:space="preserve">The present paper offers </w:t>
      </w:r>
      <w:r w:rsidR="007E3337">
        <w:rPr>
          <w:rFonts w:ascii="Times New Roman" w:hAnsi="Times New Roman" w:cs="Times New Roman (Body CS)"/>
        </w:rPr>
        <w:t xml:space="preserve">a response to </w:t>
      </w:r>
      <w:proofErr w:type="spellStart"/>
      <w:r w:rsidR="007E3337">
        <w:rPr>
          <w:rFonts w:ascii="Times New Roman" w:hAnsi="Times New Roman" w:cs="Times New Roman (Body CS)"/>
        </w:rPr>
        <w:t>Setiya’s</w:t>
      </w:r>
      <w:proofErr w:type="spellEnd"/>
      <w:r w:rsidR="007E3337">
        <w:rPr>
          <w:rFonts w:ascii="Times New Roman" w:hAnsi="Times New Roman" w:cs="Times New Roman (Body CS)"/>
        </w:rPr>
        <w:t xml:space="preserve"> argument</w:t>
      </w:r>
      <w:r>
        <w:rPr>
          <w:rFonts w:ascii="Times New Roman" w:hAnsi="Times New Roman" w:cs="Times New Roman (Body CS)"/>
        </w:rPr>
        <w:t xml:space="preserve">.  I formulate those arguments in section II, show that they are invalid in section III, challenge their crucial premise in section IV, and </w:t>
      </w:r>
      <w:r w:rsidR="007E3337">
        <w:rPr>
          <w:rFonts w:ascii="Times New Roman" w:hAnsi="Times New Roman" w:cs="Times New Roman (Body CS)"/>
        </w:rPr>
        <w:t xml:space="preserve">finally argue that </w:t>
      </w:r>
      <w:proofErr w:type="spellStart"/>
      <w:r w:rsidR="007E3337">
        <w:rPr>
          <w:rFonts w:ascii="Times New Roman" w:hAnsi="Times New Roman" w:cs="Times New Roman (Body CS)"/>
        </w:rPr>
        <w:t>Setiya’s</w:t>
      </w:r>
      <w:proofErr w:type="spellEnd"/>
      <w:r w:rsidR="007E3337">
        <w:rPr>
          <w:rFonts w:ascii="Times New Roman" w:hAnsi="Times New Roman" w:cs="Times New Roman (Body CS)"/>
        </w:rPr>
        <w:t xml:space="preserve"> appeal to the metaphysical distinction between the static and the dynamic cannot do the work he wants it to do</w:t>
      </w:r>
      <w:r w:rsidR="00FB4B49">
        <w:rPr>
          <w:rFonts w:ascii="Times New Roman" w:hAnsi="Times New Roman" w:cs="Times New Roman (Body CS)"/>
        </w:rPr>
        <w:t>.</w:t>
      </w:r>
    </w:p>
    <w:p w14:paraId="0E9AB6EB" w14:textId="77777777" w:rsidR="00A632B1" w:rsidRDefault="00A632B1" w:rsidP="00B408EF">
      <w:pPr>
        <w:rPr>
          <w:rFonts w:ascii="Times New Roman" w:hAnsi="Times New Roman" w:cs="Times New Roman (Body CS)"/>
        </w:rPr>
      </w:pPr>
    </w:p>
    <w:p w14:paraId="09B8DD8E" w14:textId="77777777" w:rsidR="00B408EF" w:rsidRPr="00B408EF" w:rsidRDefault="00B408EF" w:rsidP="00B408EF">
      <w:pPr>
        <w:rPr>
          <w:rFonts w:ascii="Times New Roman" w:hAnsi="Times New Roman" w:cs="Times New Roman (Body CS)"/>
        </w:rPr>
      </w:pPr>
    </w:p>
    <w:p w14:paraId="409638B1" w14:textId="133258C3" w:rsidR="000031F6" w:rsidRPr="004F1623" w:rsidRDefault="000031F6" w:rsidP="000031F6">
      <w:pPr>
        <w:pStyle w:val="ListParagraph"/>
        <w:numPr>
          <w:ilvl w:val="0"/>
          <w:numId w:val="3"/>
        </w:numPr>
        <w:rPr>
          <w:rFonts w:ascii="Times New Roman" w:hAnsi="Times New Roman" w:cs="Times New Roman (Body CS)"/>
          <w:b/>
        </w:rPr>
      </w:pPr>
      <w:proofErr w:type="spellStart"/>
      <w:r w:rsidRPr="004F1623">
        <w:rPr>
          <w:rFonts w:ascii="Times New Roman" w:hAnsi="Times New Roman" w:cs="Times New Roman (Body CS)"/>
          <w:b/>
        </w:rPr>
        <w:t>Setiya’s</w:t>
      </w:r>
      <w:proofErr w:type="spellEnd"/>
      <w:r w:rsidRPr="004F1623">
        <w:rPr>
          <w:rFonts w:ascii="Times New Roman" w:hAnsi="Times New Roman" w:cs="Times New Roman (Body CS)"/>
          <w:b/>
        </w:rPr>
        <w:t xml:space="preserve"> argument </w:t>
      </w:r>
      <w:r w:rsidR="004F1623">
        <w:rPr>
          <w:rFonts w:ascii="Times New Roman" w:hAnsi="Times New Roman" w:cs="Times New Roman (Body CS)"/>
          <w:b/>
        </w:rPr>
        <w:t xml:space="preserve">for </w:t>
      </w:r>
      <w:proofErr w:type="spellStart"/>
      <w:r w:rsidR="004F1623">
        <w:rPr>
          <w:rFonts w:ascii="Times New Roman" w:hAnsi="Times New Roman" w:cs="Times New Roman (Body CS)"/>
          <w:b/>
        </w:rPr>
        <w:t>deflationism</w:t>
      </w:r>
      <w:proofErr w:type="spellEnd"/>
      <w:r w:rsidR="004F1623">
        <w:rPr>
          <w:rFonts w:ascii="Times New Roman" w:hAnsi="Times New Roman" w:cs="Times New Roman (Body CS)"/>
          <w:b/>
        </w:rPr>
        <w:t xml:space="preserve"> about </w:t>
      </w:r>
      <w:r w:rsidRPr="004F1623">
        <w:rPr>
          <w:rFonts w:ascii="Times New Roman" w:hAnsi="Times New Roman" w:cs="Times New Roman (Body CS)"/>
          <w:b/>
        </w:rPr>
        <w:t>epistemic agency</w:t>
      </w:r>
    </w:p>
    <w:p w14:paraId="17590DFD" w14:textId="77777777" w:rsidR="00FB4B49" w:rsidRDefault="00FB4B49" w:rsidP="00FB4B49">
      <w:pPr>
        <w:rPr>
          <w:rFonts w:ascii="Times New Roman" w:hAnsi="Times New Roman" w:cs="Times New Roman (Body CS)"/>
        </w:rPr>
      </w:pPr>
    </w:p>
    <w:p w14:paraId="3670C423" w14:textId="77777777" w:rsidR="00CD3DFC" w:rsidRDefault="00CB2BD3" w:rsidP="00CB2BD3">
      <w:pPr>
        <w:ind w:firstLine="720"/>
        <w:rPr>
          <w:rFonts w:ascii="Times New Roman" w:hAnsi="Times New Roman" w:cs="Times New Roman (Body CS)"/>
        </w:rPr>
      </w:pPr>
      <w:proofErr w:type="spellStart"/>
      <w:r>
        <w:rPr>
          <w:rFonts w:ascii="Times New Roman" w:hAnsi="Times New Roman" w:cs="Times New Roman (Body CS)"/>
        </w:rPr>
        <w:t>Setiya’s</w:t>
      </w:r>
      <w:proofErr w:type="spellEnd"/>
      <w:r>
        <w:rPr>
          <w:rFonts w:ascii="Times New Roman" w:hAnsi="Times New Roman" w:cs="Times New Roman (Body CS)"/>
        </w:rPr>
        <w:t xml:space="preserve"> argument is an inference to the best explanation.  It begins by no</w:t>
      </w:r>
      <w:r w:rsidR="00CD3DFC">
        <w:rPr>
          <w:rFonts w:ascii="Times New Roman" w:hAnsi="Times New Roman" w:cs="Times New Roman (Body CS)"/>
        </w:rPr>
        <w:t>ting three features of belief, and then proposes an explanation of those three features.</w:t>
      </w:r>
    </w:p>
    <w:p w14:paraId="469BA246" w14:textId="2A666D03" w:rsidR="00FB4B49" w:rsidRDefault="00CB2BD3" w:rsidP="00CB2BD3">
      <w:pPr>
        <w:ind w:firstLine="720"/>
        <w:rPr>
          <w:rFonts w:ascii="Times New Roman" w:hAnsi="Times New Roman" w:cs="Times New Roman (Body CS)"/>
        </w:rPr>
      </w:pPr>
      <w:r>
        <w:rPr>
          <w:rFonts w:ascii="Times New Roman" w:hAnsi="Times New Roman" w:cs="Times New Roman (Body CS)"/>
        </w:rPr>
        <w:t xml:space="preserve">First: “suppose I am prone to wishful thinking, and I would continue to believe that I will win the lottery even if I had no evidence.  As it happens, I know that the lottery is rigged in my </w:t>
      </w:r>
      <w:proofErr w:type="spellStart"/>
      <w:r>
        <w:rPr>
          <w:rFonts w:ascii="Times New Roman" w:hAnsi="Times New Roman" w:cs="Times New Roman (Body CS)"/>
        </w:rPr>
        <w:t>favour</w:t>
      </w:r>
      <w:proofErr w:type="spellEnd"/>
      <w:r>
        <w:rPr>
          <w:rFonts w:ascii="Times New Roman" w:hAnsi="Times New Roman" w:cs="Times New Roman (Body CS)"/>
        </w:rPr>
        <w:t xml:space="preserve"> and regard this as proof that I will win.  Although the belief that I will win is not sustained by my belief that the lottery is rigged and is counterfactually independent of it, that does not prevent me from believing that I will win on the ground that the lottery is rigged, or from having a justified belief that I will win.  Asked ‘why do you believe that you will win the lottery?’ I can cite conclusive proof.  What more could knowledge demand?”</w:t>
      </w:r>
      <w:r>
        <w:rPr>
          <w:rStyle w:val="FootnoteReference"/>
          <w:rFonts w:ascii="Times New Roman" w:hAnsi="Times New Roman" w:cs="Times New Roman (Body CS)"/>
        </w:rPr>
        <w:footnoteReference w:id="5"/>
      </w:r>
      <w:r>
        <w:rPr>
          <w:rFonts w:ascii="Times New Roman" w:hAnsi="Times New Roman" w:cs="Times New Roman (Body CS)"/>
        </w:rPr>
        <w:t xml:space="preserve">  </w:t>
      </w:r>
      <w:proofErr w:type="spellStart"/>
      <w:r>
        <w:rPr>
          <w:rFonts w:ascii="Times New Roman" w:hAnsi="Times New Roman" w:cs="Times New Roman (Body CS)"/>
        </w:rPr>
        <w:t>Setiya</w:t>
      </w:r>
      <w:proofErr w:type="spellEnd"/>
      <w:r>
        <w:rPr>
          <w:rFonts w:ascii="Times New Roman" w:hAnsi="Times New Roman" w:cs="Times New Roman (Body CS)"/>
        </w:rPr>
        <w:t xml:space="preserve"> generalizes this point from cases in which we recognize ourselves to possess conclusive evidence to cases in which we take ourselves to possess less than conclusive evidence.  In short, </w:t>
      </w:r>
      <w:proofErr w:type="spellStart"/>
      <w:r>
        <w:rPr>
          <w:rFonts w:ascii="Times New Roman" w:hAnsi="Times New Roman" w:cs="Times New Roman (Body CS)"/>
        </w:rPr>
        <w:t>Setiya</w:t>
      </w:r>
      <w:proofErr w:type="spellEnd"/>
      <w:r>
        <w:rPr>
          <w:rFonts w:ascii="Times New Roman" w:hAnsi="Times New Roman" w:cs="Times New Roman (Body CS)"/>
        </w:rPr>
        <w:t xml:space="preserve"> says, believing for a reason doesn’t require that our belief be causally sustained by, or counterfactually sensitive to, our having that reason:  merely recognizing the reason for our belief </w:t>
      </w:r>
      <w:r w:rsidRPr="00CB2BD3">
        <w:rPr>
          <w:rFonts w:ascii="Times New Roman" w:hAnsi="Times New Roman" w:cs="Times New Roman (Body CS)"/>
          <w:i/>
        </w:rPr>
        <w:t>as such</w:t>
      </w:r>
      <w:r>
        <w:rPr>
          <w:rFonts w:ascii="Times New Roman" w:hAnsi="Times New Roman" w:cs="Times New Roman (Body CS)"/>
        </w:rPr>
        <w:t xml:space="preserve"> suffices for it to be a reason for which we believe.</w:t>
      </w:r>
    </w:p>
    <w:p w14:paraId="3336C70C" w14:textId="77777777" w:rsidR="00CD3DFC" w:rsidRDefault="00CB2BD3" w:rsidP="00CD3DFC">
      <w:pPr>
        <w:ind w:firstLine="720"/>
        <w:rPr>
          <w:rFonts w:ascii="Times New Roman" w:hAnsi="Times New Roman" w:cs="Times New Roman (Body CS)"/>
        </w:rPr>
      </w:pPr>
      <w:r>
        <w:rPr>
          <w:rFonts w:ascii="Times New Roman" w:hAnsi="Times New Roman" w:cs="Times New Roman (Body CS)"/>
        </w:rPr>
        <w:t xml:space="preserve">Second, </w:t>
      </w:r>
      <w:r w:rsidR="00966EE9">
        <w:rPr>
          <w:rFonts w:ascii="Times New Roman" w:hAnsi="Times New Roman" w:cs="Times New Roman (Body CS)"/>
        </w:rPr>
        <w:t>“it is incoherent to assert ‘p and the fact that q is evidence that p, but I don’t believe that p even partly because I believe that q.’  … the paradox rests on the fact that being in a position to assert the first claim entails the falsehood of the second.  One cannot believe that p, and that the fact that q is evidence p, without believing that p because one believes that q, in the epistemic sense.  … For instance, I believe that I was born in Hull and that the fact that my passport says so is evidence for this claim.  Do I believe that I was born in Hull because I know that my passport says so?  In some sense of ‘because,’ surely not.  I did not form this belief by looking at my passport, nor would I revise it if I discovered that my passport says something else.  What my passport says is not the first or most important evidence of my place of birth, and it would be pragmatically odd to cite it as the ground of my belief.  … Still, once we acknowledge these facts, there is no reason to deny that the words in my passport are among the grounds on which I believe that I was born in Hull.”</w:t>
      </w:r>
      <w:r w:rsidR="00966EE9">
        <w:rPr>
          <w:rStyle w:val="FootnoteReference"/>
          <w:rFonts w:ascii="Times New Roman" w:hAnsi="Times New Roman" w:cs="Times New Roman (Body CS)"/>
        </w:rPr>
        <w:footnoteReference w:id="6"/>
      </w:r>
      <w:r w:rsidR="00966EE9">
        <w:rPr>
          <w:rFonts w:ascii="Times New Roman" w:hAnsi="Times New Roman" w:cs="Times New Roman (Body CS)"/>
        </w:rPr>
        <w:t xml:space="preserve">  </w:t>
      </w:r>
      <w:r w:rsidR="00CD3DFC">
        <w:rPr>
          <w:rFonts w:ascii="Times New Roman" w:hAnsi="Times New Roman" w:cs="Times New Roman (Body CS)"/>
        </w:rPr>
        <w:tab/>
      </w:r>
    </w:p>
    <w:p w14:paraId="35F4DE83" w14:textId="65CAE16C" w:rsidR="00CD3DFC" w:rsidRPr="00CD3DFC" w:rsidRDefault="00CD3DFC" w:rsidP="00CD3DFC">
      <w:pPr>
        <w:ind w:firstLine="720"/>
        <w:rPr>
          <w:rFonts w:ascii="Times New Roman" w:hAnsi="Times New Roman" w:cs="Times New Roman (Body CS)"/>
        </w:rPr>
      </w:pPr>
      <w:r w:rsidRPr="00CD3DFC">
        <w:rPr>
          <w:rFonts w:ascii="Times New Roman" w:hAnsi="Times New Roman" w:cs="Times New Roman"/>
        </w:rPr>
        <w:t xml:space="preserve">Third, our knowledge of our own reasons for belief is privileged in the same way that our knowledge of our own beliefs is privileged.  “If you believe that </w:t>
      </w:r>
      <w:r w:rsidRPr="00CD3DFC">
        <w:rPr>
          <w:rFonts w:ascii="Times New Roman" w:hAnsi="Times New Roman" w:cs="Times New Roman"/>
          <w:i/>
          <w:iCs/>
        </w:rPr>
        <w:t>p</w:t>
      </w:r>
      <w:r w:rsidRPr="00CD3DFC">
        <w:rPr>
          <w:rFonts w:ascii="Times New Roman" w:hAnsi="Times New Roman" w:cs="Times New Roman"/>
        </w:rPr>
        <w:t xml:space="preserve">, you are in a position to know that you believe that </w:t>
      </w:r>
      <w:r w:rsidRPr="00CD3DFC">
        <w:rPr>
          <w:rFonts w:ascii="Times New Roman" w:hAnsi="Times New Roman" w:cs="Times New Roman"/>
          <w:i/>
          <w:iCs/>
        </w:rPr>
        <w:t>p</w:t>
      </w:r>
      <w:r w:rsidRPr="00CD3DFC">
        <w:rPr>
          <w:rFonts w:ascii="Times New Roman" w:hAnsi="Times New Roman" w:cs="Times New Roman"/>
        </w:rPr>
        <w:t>.</w:t>
      </w:r>
      <w:r w:rsidRPr="00CD3DFC">
        <w:rPr>
          <w:rFonts w:ascii="Times New Roman" w:hAnsi="Times New Roman" w:cs="Times New Roman"/>
          <w:position w:val="8"/>
        </w:rPr>
        <w:t xml:space="preserve"> </w:t>
      </w:r>
      <w:r>
        <w:rPr>
          <w:position w:val="8"/>
        </w:rPr>
        <w:t xml:space="preserve"> </w:t>
      </w:r>
      <w:r w:rsidRPr="00CD3DFC">
        <w:rPr>
          <w:rFonts w:ascii="Times New Roman" w:hAnsi="Times New Roman" w:cs="Times New Roman"/>
        </w:rPr>
        <w:t xml:space="preserve">Likewise, if you believe that </w:t>
      </w:r>
      <w:r w:rsidRPr="00CD3DFC">
        <w:rPr>
          <w:rFonts w:ascii="Times New Roman" w:hAnsi="Times New Roman" w:cs="Times New Roman"/>
          <w:i/>
          <w:iCs/>
        </w:rPr>
        <w:t xml:space="preserve">p </w:t>
      </w:r>
      <w:r w:rsidRPr="00CD3DFC">
        <w:rPr>
          <w:rFonts w:ascii="Times New Roman" w:hAnsi="Times New Roman" w:cs="Times New Roman"/>
        </w:rPr>
        <w:t xml:space="preserve">on the ground that </w:t>
      </w:r>
      <w:r w:rsidRPr="00CD3DFC">
        <w:rPr>
          <w:rFonts w:ascii="Times New Roman" w:hAnsi="Times New Roman" w:cs="Times New Roman"/>
          <w:i/>
          <w:iCs/>
        </w:rPr>
        <w:t>q</w:t>
      </w:r>
      <w:r w:rsidRPr="00CD3DFC">
        <w:rPr>
          <w:rFonts w:ascii="Times New Roman" w:hAnsi="Times New Roman" w:cs="Times New Roman"/>
        </w:rPr>
        <w:t xml:space="preserve">, you are in a position to know that you believe that </w:t>
      </w:r>
      <w:r w:rsidRPr="00CD3DFC">
        <w:rPr>
          <w:rFonts w:ascii="Times New Roman" w:hAnsi="Times New Roman" w:cs="Times New Roman"/>
          <w:i/>
          <w:iCs/>
        </w:rPr>
        <w:t xml:space="preserve">p </w:t>
      </w:r>
      <w:r w:rsidRPr="00CD3DFC">
        <w:rPr>
          <w:rFonts w:ascii="Times New Roman" w:hAnsi="Times New Roman" w:cs="Times New Roman"/>
        </w:rPr>
        <w:t xml:space="preserve">and that the fact that </w:t>
      </w:r>
      <w:r w:rsidRPr="00CD3DFC">
        <w:rPr>
          <w:rFonts w:ascii="Times New Roman" w:hAnsi="Times New Roman" w:cs="Times New Roman"/>
          <w:i/>
          <w:iCs/>
        </w:rPr>
        <w:t xml:space="preserve">q </w:t>
      </w:r>
      <w:r w:rsidRPr="00CD3DFC">
        <w:rPr>
          <w:rFonts w:ascii="Times New Roman" w:hAnsi="Times New Roman" w:cs="Times New Roman"/>
        </w:rPr>
        <w:t xml:space="preserve">is evidence that </w:t>
      </w:r>
      <w:r w:rsidRPr="00CD3DFC">
        <w:rPr>
          <w:rFonts w:ascii="Times New Roman" w:hAnsi="Times New Roman" w:cs="Times New Roman"/>
          <w:i/>
          <w:iCs/>
        </w:rPr>
        <w:t>p</w:t>
      </w:r>
      <w:r w:rsidRPr="00CD3DFC">
        <w:rPr>
          <w:rFonts w:ascii="Times New Roman" w:hAnsi="Times New Roman" w:cs="Times New Roman"/>
        </w:rPr>
        <w:t xml:space="preserve">. </w:t>
      </w:r>
      <w:r>
        <w:t xml:space="preserve"> </w:t>
      </w:r>
      <w:r w:rsidRPr="00CD3DFC">
        <w:rPr>
          <w:rFonts w:ascii="Times New Roman" w:hAnsi="Times New Roman" w:cs="Times New Roman"/>
        </w:rPr>
        <w:t xml:space="preserve">But to believe that </w:t>
      </w:r>
      <w:r w:rsidRPr="00CD3DFC">
        <w:rPr>
          <w:rFonts w:ascii="Times New Roman" w:hAnsi="Times New Roman" w:cs="Times New Roman"/>
          <w:i/>
          <w:iCs/>
        </w:rPr>
        <w:t xml:space="preserve">p </w:t>
      </w:r>
      <w:r w:rsidRPr="00CD3DFC">
        <w:rPr>
          <w:rFonts w:ascii="Times New Roman" w:hAnsi="Times New Roman" w:cs="Times New Roman"/>
        </w:rPr>
        <w:t xml:space="preserve">because one believes that </w:t>
      </w:r>
      <w:r w:rsidRPr="00CD3DFC">
        <w:rPr>
          <w:rFonts w:ascii="Times New Roman" w:hAnsi="Times New Roman" w:cs="Times New Roman"/>
          <w:i/>
          <w:iCs/>
        </w:rPr>
        <w:t xml:space="preserve">q </w:t>
      </w:r>
      <w:r w:rsidRPr="00CD3DFC">
        <w:rPr>
          <w:rFonts w:ascii="Times New Roman" w:hAnsi="Times New Roman" w:cs="Times New Roman"/>
        </w:rPr>
        <w:t xml:space="preserve">just is to believe that </w:t>
      </w:r>
      <w:r w:rsidRPr="00CD3DFC">
        <w:rPr>
          <w:rFonts w:ascii="Times New Roman" w:hAnsi="Times New Roman" w:cs="Times New Roman"/>
          <w:i/>
          <w:iCs/>
        </w:rPr>
        <w:t xml:space="preserve">p </w:t>
      </w:r>
      <w:r w:rsidRPr="00CD3DFC">
        <w:rPr>
          <w:rFonts w:ascii="Times New Roman" w:hAnsi="Times New Roman" w:cs="Times New Roman"/>
        </w:rPr>
        <w:t xml:space="preserve">and that the fact that </w:t>
      </w:r>
      <w:r w:rsidRPr="00CD3DFC">
        <w:rPr>
          <w:rFonts w:ascii="Times New Roman" w:hAnsi="Times New Roman" w:cs="Times New Roman"/>
          <w:i/>
          <w:iCs/>
        </w:rPr>
        <w:t xml:space="preserve">q </w:t>
      </w:r>
      <w:r w:rsidRPr="00CD3DFC">
        <w:rPr>
          <w:rFonts w:ascii="Times New Roman" w:hAnsi="Times New Roman" w:cs="Times New Roman"/>
        </w:rPr>
        <w:t xml:space="preserve">is evidence that </w:t>
      </w:r>
      <w:r w:rsidRPr="00CD3DFC">
        <w:rPr>
          <w:rFonts w:ascii="Times New Roman" w:hAnsi="Times New Roman" w:cs="Times New Roman"/>
          <w:i/>
          <w:iCs/>
        </w:rPr>
        <w:t>p</w:t>
      </w:r>
      <w:r w:rsidRPr="00CD3DFC">
        <w:rPr>
          <w:rFonts w:ascii="Times New Roman" w:hAnsi="Times New Roman" w:cs="Times New Roman"/>
        </w:rPr>
        <w:t xml:space="preserve">. </w:t>
      </w:r>
      <w:r>
        <w:t xml:space="preserve"> </w:t>
      </w:r>
      <w:proofErr w:type="gramStart"/>
      <w:r w:rsidRPr="00CD3DFC">
        <w:rPr>
          <w:rFonts w:ascii="Times New Roman" w:hAnsi="Times New Roman" w:cs="Times New Roman"/>
        </w:rPr>
        <w:t>So</w:t>
      </w:r>
      <w:proofErr w:type="gramEnd"/>
      <w:r w:rsidRPr="00CD3DFC">
        <w:rPr>
          <w:rFonts w:ascii="Times New Roman" w:hAnsi="Times New Roman" w:cs="Times New Roman"/>
        </w:rPr>
        <w:t xml:space="preserve"> you are in a position to know that you believe that </w:t>
      </w:r>
      <w:r w:rsidRPr="00CD3DFC">
        <w:rPr>
          <w:rFonts w:ascii="Times New Roman" w:hAnsi="Times New Roman" w:cs="Times New Roman"/>
          <w:i/>
          <w:iCs/>
        </w:rPr>
        <w:t xml:space="preserve">p </w:t>
      </w:r>
      <w:r w:rsidRPr="00CD3DFC">
        <w:rPr>
          <w:rFonts w:ascii="Times New Roman" w:hAnsi="Times New Roman" w:cs="Times New Roman"/>
        </w:rPr>
        <w:t xml:space="preserve">because you believe that </w:t>
      </w:r>
      <w:r w:rsidRPr="00CD3DFC">
        <w:rPr>
          <w:rFonts w:ascii="Times New Roman" w:hAnsi="Times New Roman" w:cs="Times New Roman"/>
          <w:i/>
          <w:iCs/>
        </w:rPr>
        <w:t>q</w:t>
      </w:r>
      <w:r w:rsidRPr="00CD3DFC">
        <w:rPr>
          <w:rFonts w:ascii="Times New Roman" w:hAnsi="Times New Roman" w:cs="Times New Roman"/>
        </w:rPr>
        <w:t xml:space="preserve">. </w:t>
      </w:r>
      <w:r>
        <w:t xml:space="preserve"> </w:t>
      </w:r>
      <w:r w:rsidRPr="00CD3DFC">
        <w:rPr>
          <w:rFonts w:ascii="Times New Roman" w:hAnsi="Times New Roman" w:cs="Times New Roman"/>
        </w:rPr>
        <w:t xml:space="preserve">At the same time, the reductive theory explains how your answer to the question ‘Why?’ plays a constitutive </w:t>
      </w:r>
      <w:r w:rsidRPr="00CD3DFC">
        <w:rPr>
          <w:rFonts w:ascii="Times New Roman" w:hAnsi="Times New Roman" w:cs="Times New Roman"/>
        </w:rPr>
        <w:lastRenderedPageBreak/>
        <w:t xml:space="preserve">role in believing for a reason.  When you believe that </w:t>
      </w:r>
      <w:r w:rsidRPr="00CD3DFC">
        <w:rPr>
          <w:rFonts w:ascii="Times New Roman" w:hAnsi="Times New Roman" w:cs="Times New Roman"/>
          <w:i/>
          <w:iCs/>
        </w:rPr>
        <w:t>p</w:t>
      </w:r>
      <w:r w:rsidRPr="00CD3DFC">
        <w:rPr>
          <w:rFonts w:ascii="Times New Roman" w:hAnsi="Times New Roman" w:cs="Times New Roman"/>
        </w:rPr>
        <w:t xml:space="preserve">, it follows from your beliefs about the evidence that </w:t>
      </w:r>
      <w:r w:rsidRPr="00CD3DFC">
        <w:rPr>
          <w:rFonts w:ascii="Times New Roman" w:hAnsi="Times New Roman" w:cs="Times New Roman"/>
          <w:i/>
          <w:iCs/>
        </w:rPr>
        <w:t xml:space="preserve">p </w:t>
      </w:r>
      <w:r w:rsidRPr="00CD3DFC">
        <w:rPr>
          <w:rFonts w:ascii="Times New Roman" w:hAnsi="Times New Roman" w:cs="Times New Roman"/>
        </w:rPr>
        <w:t xml:space="preserve">that you believe it on the corresponding grounds. </w:t>
      </w:r>
      <w:r>
        <w:t xml:space="preserve"> </w:t>
      </w:r>
      <w:r w:rsidRPr="00CD3DFC">
        <w:rPr>
          <w:rFonts w:ascii="Times New Roman" w:hAnsi="Times New Roman" w:cs="Times New Roman"/>
        </w:rPr>
        <w:t>What accounts for these phenomena if believing for a reason is not a mere conjunction of beliefs?</w:t>
      </w:r>
      <w:r>
        <w:t>”</w:t>
      </w:r>
      <w:r w:rsidRPr="00CD3DFC">
        <w:rPr>
          <w:rFonts w:ascii="Times New Roman" w:hAnsi="Times New Roman" w:cs="Times New Roman"/>
        </w:rPr>
        <w:t xml:space="preserve"> </w:t>
      </w:r>
    </w:p>
    <w:p w14:paraId="5ABF3E0D" w14:textId="77E15825" w:rsidR="00CD3DFC" w:rsidRDefault="00CD3DFC" w:rsidP="00CB2BD3">
      <w:pPr>
        <w:ind w:firstLine="720"/>
        <w:rPr>
          <w:rFonts w:ascii="Times New Roman" w:hAnsi="Times New Roman" w:cs="Times New Roman (Body CS)"/>
        </w:rPr>
      </w:pPr>
      <w:r>
        <w:rPr>
          <w:rFonts w:ascii="Times New Roman" w:hAnsi="Times New Roman" w:cs="Times New Roman (Body CS)"/>
        </w:rPr>
        <w:t xml:space="preserve">These three facts – the fact that I can believe on grounds to which my belief is not sensitive, that I cannot coherently assert that I have good evidence that p even though it is not my grounds for believing that p, and that I have privileged knowledge of my own reasons for belief – are all straightforwardly explained, </w:t>
      </w:r>
      <w:proofErr w:type="spellStart"/>
      <w:r>
        <w:rPr>
          <w:rFonts w:ascii="Times New Roman" w:hAnsi="Times New Roman" w:cs="Times New Roman (Body CS)"/>
        </w:rPr>
        <w:t>Setiya</w:t>
      </w:r>
      <w:proofErr w:type="spellEnd"/>
      <w:r>
        <w:rPr>
          <w:rFonts w:ascii="Times New Roman" w:hAnsi="Times New Roman" w:cs="Times New Roman (Body CS)"/>
        </w:rPr>
        <w:t xml:space="preserve"> claims, by the following simple account of the epistemic basing relation, which I will henceforth call “Basing as Believing a Conjunction”, or BBC:</w:t>
      </w:r>
    </w:p>
    <w:p w14:paraId="4170C72D" w14:textId="77777777" w:rsidR="00CB2BD3" w:rsidRDefault="00CB2BD3" w:rsidP="00CB2BD3">
      <w:pPr>
        <w:ind w:left="720"/>
        <w:rPr>
          <w:rFonts w:ascii="Times New Roman" w:hAnsi="Times New Roman" w:cs="Times New Roman (Body CS)"/>
        </w:rPr>
      </w:pPr>
    </w:p>
    <w:p w14:paraId="588099E8" w14:textId="430D5BA5" w:rsidR="00CD3DFC" w:rsidRDefault="00CD3DFC" w:rsidP="00FB4B49">
      <w:pPr>
        <w:rPr>
          <w:rFonts w:ascii="Times New Roman" w:hAnsi="Times New Roman" w:cs="Times New Roman (Body CS)"/>
        </w:rPr>
      </w:pPr>
      <w:r>
        <w:rPr>
          <w:rFonts w:ascii="Times New Roman" w:hAnsi="Times New Roman" w:cs="Times New Roman (Body CS)"/>
        </w:rPr>
        <w:t xml:space="preserve">(BBC) </w:t>
      </w:r>
      <w:r w:rsidR="00FB4B49">
        <w:rPr>
          <w:rFonts w:ascii="Times New Roman" w:hAnsi="Times New Roman" w:cs="Times New Roman (Body CS)"/>
        </w:rPr>
        <w:t>To believe that p on the ground that q is to believe that p and that the fact that q is evidence that p.</w:t>
      </w:r>
      <w:r w:rsidR="009A6171">
        <w:rPr>
          <w:rStyle w:val="FootnoteReference"/>
          <w:rFonts w:ascii="Times New Roman" w:hAnsi="Times New Roman" w:cs="Times New Roman (Body CS)"/>
        </w:rPr>
        <w:footnoteReference w:id="7"/>
      </w:r>
    </w:p>
    <w:p w14:paraId="25FAAD2E" w14:textId="1AFF8140" w:rsidR="00CD3DFC" w:rsidRDefault="00CD3DFC" w:rsidP="00FB4B49">
      <w:pPr>
        <w:rPr>
          <w:rFonts w:ascii="Times New Roman" w:hAnsi="Times New Roman" w:cs="Times New Roman (Body CS)"/>
        </w:rPr>
      </w:pPr>
    </w:p>
    <w:p w14:paraId="570E26D3" w14:textId="1CC83143" w:rsidR="00CD3DFC" w:rsidRDefault="0080143A" w:rsidP="00FB4B49">
      <w:pPr>
        <w:rPr>
          <w:rFonts w:ascii="Times New Roman" w:hAnsi="Times New Roman" w:cs="Times New Roman (Body CS)"/>
        </w:rPr>
      </w:pPr>
      <w:r>
        <w:rPr>
          <w:rFonts w:ascii="Times New Roman" w:hAnsi="Times New Roman" w:cs="Times New Roman (Body CS)"/>
        </w:rPr>
        <w:t xml:space="preserve">But if BBC is true, then there are two very basic differences between practical agency and so-called “epistemic agency”.  First, practical agency involves a causal relation between one’s motives or intentions, on the one hand, and one’s intentional action, on the other – but no such causal relation is necessary for epistemic agency, since the latter sort of agency involves nothing more than believing certain conjunctions of the form </w:t>
      </w:r>
      <w:r w:rsidRPr="0080143A">
        <w:rPr>
          <w:rFonts w:ascii="Times New Roman" w:hAnsi="Times New Roman" w:cs="Times New Roman (Body CS)"/>
          <w:i/>
        </w:rPr>
        <w:t>P, and the fact that Q is evidence that P</w:t>
      </w:r>
      <w:r>
        <w:rPr>
          <w:rFonts w:ascii="Times New Roman" w:hAnsi="Times New Roman" w:cs="Times New Roman (Body CS)"/>
        </w:rPr>
        <w:t xml:space="preserve">.  And second, though it may be typically true that we act for reasons that we take to be good reasons for so acting, our taking them to be good reasons for so acting is not merely insufficient, but also unnecessary, for our </w:t>
      </w:r>
      <w:r w:rsidR="000269EF">
        <w:rPr>
          <w:rFonts w:ascii="Times New Roman" w:hAnsi="Times New Roman" w:cs="Times New Roman (Body CS)"/>
        </w:rPr>
        <w:t>acting for those reasons.  I can</w:t>
      </w:r>
      <w:r>
        <w:rPr>
          <w:rFonts w:ascii="Times New Roman" w:hAnsi="Times New Roman" w:cs="Times New Roman (Body CS)"/>
        </w:rPr>
        <w:t xml:space="preserve"> be perfectly well aware of why I performed some action</w:t>
      </w:r>
      <w:r w:rsidR="000269EF">
        <w:rPr>
          <w:rFonts w:ascii="Times New Roman" w:hAnsi="Times New Roman" w:cs="Times New Roman (Body CS)"/>
        </w:rPr>
        <w:t xml:space="preserve"> (e.g. doing something deliberately to annoy my partner when I find myself annoyed by something she does)</w:t>
      </w:r>
      <w:r>
        <w:rPr>
          <w:rFonts w:ascii="Times New Roman" w:hAnsi="Times New Roman" w:cs="Times New Roman (Body CS)"/>
        </w:rPr>
        <w:t xml:space="preserve">, even while recognizing that </w:t>
      </w:r>
      <w:r w:rsidR="000269EF">
        <w:rPr>
          <w:rFonts w:ascii="Times New Roman" w:hAnsi="Times New Roman" w:cs="Times New Roman (Body CS)"/>
        </w:rPr>
        <w:t xml:space="preserve">my reason was not a good reason for so acting.  Thus, believing a conjunction about our reasons is neither necessary nor sufficient for practical agency, which involves causation, but it is both necessary and sufficient for epistemic agency, which doesn’t involve causation.  In this sense, </w:t>
      </w:r>
      <w:proofErr w:type="spellStart"/>
      <w:r w:rsidR="000269EF">
        <w:rPr>
          <w:rFonts w:ascii="Times New Roman" w:hAnsi="Times New Roman" w:cs="Times New Roman (Body CS)"/>
        </w:rPr>
        <w:t>Setiya</w:t>
      </w:r>
      <w:proofErr w:type="spellEnd"/>
      <w:r w:rsidR="000269EF">
        <w:rPr>
          <w:rFonts w:ascii="Times New Roman" w:hAnsi="Times New Roman" w:cs="Times New Roman (Body CS)"/>
        </w:rPr>
        <w:t xml:space="preserve"> claims to defend a kind of “</w:t>
      </w:r>
      <w:proofErr w:type="spellStart"/>
      <w:r w:rsidR="000269EF">
        <w:rPr>
          <w:rFonts w:ascii="Times New Roman" w:hAnsi="Times New Roman" w:cs="Times New Roman (Body CS)"/>
        </w:rPr>
        <w:t>deflationism</w:t>
      </w:r>
      <w:proofErr w:type="spellEnd"/>
      <w:r w:rsidR="000269EF">
        <w:rPr>
          <w:rFonts w:ascii="Times New Roman" w:hAnsi="Times New Roman" w:cs="Times New Roman (Body CS)"/>
        </w:rPr>
        <w:t>” about epistemic agency:</w:t>
      </w:r>
    </w:p>
    <w:p w14:paraId="47169109" w14:textId="47C6DADD" w:rsidR="000269EF" w:rsidRDefault="000269EF" w:rsidP="00FB4B49">
      <w:pPr>
        <w:rPr>
          <w:rFonts w:ascii="Times New Roman" w:hAnsi="Times New Roman" w:cs="Times New Roman (Body CS)"/>
        </w:rPr>
      </w:pPr>
    </w:p>
    <w:p w14:paraId="32C72CE6" w14:textId="424B680C" w:rsidR="000269EF" w:rsidRDefault="000269EF" w:rsidP="00FB4B49">
      <w:pPr>
        <w:rPr>
          <w:rFonts w:ascii="Times New Roman" w:hAnsi="Times New Roman" w:cs="Times New Roman (Body CS)"/>
        </w:rPr>
      </w:pPr>
      <w:r>
        <w:rPr>
          <w:rFonts w:ascii="Times New Roman" w:hAnsi="Times New Roman" w:cs="Times New Roman (Body CS)"/>
        </w:rPr>
        <w:t>(</w:t>
      </w:r>
      <w:proofErr w:type="spellStart"/>
      <w:r>
        <w:rPr>
          <w:rFonts w:ascii="Times New Roman" w:hAnsi="Times New Roman" w:cs="Times New Roman (Body CS)"/>
        </w:rPr>
        <w:t>Deflationism</w:t>
      </w:r>
      <w:proofErr w:type="spellEnd"/>
      <w:r>
        <w:rPr>
          <w:rFonts w:ascii="Times New Roman" w:hAnsi="Times New Roman" w:cs="Times New Roman (Body CS)"/>
        </w:rPr>
        <w:t>) Epistemic agency does not involve our exercise of a</w:t>
      </w:r>
      <w:r w:rsidR="0073471C">
        <w:rPr>
          <w:rFonts w:ascii="Times New Roman" w:hAnsi="Times New Roman" w:cs="Times New Roman (Body CS)"/>
        </w:rPr>
        <w:t xml:space="preserve"> capacity to cause anything – it</w:t>
      </w:r>
      <w:r>
        <w:rPr>
          <w:rFonts w:ascii="Times New Roman" w:hAnsi="Times New Roman" w:cs="Times New Roman (Body CS)"/>
        </w:rPr>
        <w:t xml:space="preserve"> involves </w:t>
      </w:r>
      <w:r w:rsidR="0073471C">
        <w:rPr>
          <w:rFonts w:ascii="Times New Roman" w:hAnsi="Times New Roman" w:cs="Times New Roman (Body CS)"/>
        </w:rPr>
        <w:t xml:space="preserve">nothing over and above </w:t>
      </w:r>
      <w:r>
        <w:rPr>
          <w:rFonts w:ascii="Times New Roman" w:hAnsi="Times New Roman" w:cs="Times New Roman (Body CS)"/>
        </w:rPr>
        <w:t>our having certain kinds of belief.</w:t>
      </w:r>
    </w:p>
    <w:p w14:paraId="1A393EA4" w14:textId="77777777" w:rsidR="000269EF" w:rsidRDefault="000269EF" w:rsidP="00FB4B49">
      <w:pPr>
        <w:rPr>
          <w:rFonts w:ascii="Times New Roman" w:hAnsi="Times New Roman" w:cs="Times New Roman (Body CS)"/>
        </w:rPr>
      </w:pPr>
    </w:p>
    <w:p w14:paraId="269E40EC" w14:textId="2913FB83" w:rsidR="00FB4B49" w:rsidRDefault="000269EF" w:rsidP="00FB4B49">
      <w:pPr>
        <w:rPr>
          <w:rFonts w:ascii="Times New Roman" w:hAnsi="Times New Roman" w:cs="Times New Roman (Body CS)"/>
        </w:rPr>
      </w:pPr>
      <w:r>
        <w:rPr>
          <w:rFonts w:ascii="Times New Roman" w:hAnsi="Times New Roman" w:cs="Times New Roman (Body CS)"/>
        </w:rPr>
        <w:tab/>
        <w:t xml:space="preserve">This completes </w:t>
      </w:r>
      <w:proofErr w:type="spellStart"/>
      <w:r>
        <w:rPr>
          <w:rFonts w:ascii="Times New Roman" w:hAnsi="Times New Roman" w:cs="Times New Roman (Body CS)"/>
        </w:rPr>
        <w:t>Setiya’s</w:t>
      </w:r>
      <w:proofErr w:type="spellEnd"/>
      <w:r>
        <w:rPr>
          <w:rFonts w:ascii="Times New Roman" w:hAnsi="Times New Roman" w:cs="Times New Roman (Body CS)"/>
        </w:rPr>
        <w:t xml:space="preserve"> argument </w:t>
      </w:r>
      <w:r w:rsidR="004F1623">
        <w:rPr>
          <w:rFonts w:ascii="Times New Roman" w:hAnsi="Times New Roman" w:cs="Times New Roman (Body CS)"/>
        </w:rPr>
        <w:t xml:space="preserve">for </w:t>
      </w:r>
      <w:proofErr w:type="spellStart"/>
      <w:r w:rsidR="004F1623">
        <w:rPr>
          <w:rFonts w:ascii="Times New Roman" w:hAnsi="Times New Roman" w:cs="Times New Roman (Body CS)"/>
        </w:rPr>
        <w:t>Deflationism</w:t>
      </w:r>
      <w:proofErr w:type="spellEnd"/>
      <w:r w:rsidR="004F1623">
        <w:rPr>
          <w:rFonts w:ascii="Times New Roman" w:hAnsi="Times New Roman" w:cs="Times New Roman (Body CS)"/>
        </w:rPr>
        <w:t xml:space="preserve"> about epistemic agency</w:t>
      </w:r>
      <w:r>
        <w:rPr>
          <w:rFonts w:ascii="Times New Roman" w:hAnsi="Times New Roman" w:cs="Times New Roman (Body CS)"/>
        </w:rPr>
        <w:t>.  In the remai</w:t>
      </w:r>
      <w:r w:rsidR="00616572">
        <w:rPr>
          <w:rFonts w:ascii="Times New Roman" w:hAnsi="Times New Roman" w:cs="Times New Roman (Body CS)"/>
        </w:rPr>
        <w:t>nder of this paper, I will attempt to undermine</w:t>
      </w:r>
      <w:r>
        <w:rPr>
          <w:rFonts w:ascii="Times New Roman" w:hAnsi="Times New Roman" w:cs="Times New Roman (Body CS)"/>
        </w:rPr>
        <w:t xml:space="preserve"> both his argument from BBC to </w:t>
      </w:r>
      <w:proofErr w:type="spellStart"/>
      <w:r>
        <w:rPr>
          <w:rFonts w:ascii="Times New Roman" w:hAnsi="Times New Roman" w:cs="Times New Roman (Body CS)"/>
        </w:rPr>
        <w:t>Deflationism</w:t>
      </w:r>
      <w:proofErr w:type="spellEnd"/>
      <w:r w:rsidR="00616572">
        <w:rPr>
          <w:rFonts w:ascii="Times New Roman" w:hAnsi="Times New Roman" w:cs="Times New Roman (Body CS)"/>
        </w:rPr>
        <w:t>, and also his argument for BBC</w:t>
      </w:r>
      <w:r>
        <w:rPr>
          <w:rFonts w:ascii="Times New Roman" w:hAnsi="Times New Roman" w:cs="Times New Roman (Body CS)"/>
        </w:rPr>
        <w:t>.</w:t>
      </w:r>
      <w:r w:rsidR="00616572">
        <w:rPr>
          <w:rFonts w:ascii="Times New Roman" w:hAnsi="Times New Roman" w:cs="Times New Roman (Body CS)"/>
        </w:rPr>
        <w:t xml:space="preserve">  </w:t>
      </w:r>
    </w:p>
    <w:p w14:paraId="59D9B445" w14:textId="7B0AE154" w:rsidR="00FB4B49" w:rsidRDefault="00FB4B49" w:rsidP="00FB4B49">
      <w:pPr>
        <w:ind w:firstLine="720"/>
        <w:rPr>
          <w:rFonts w:ascii="Times New Roman" w:hAnsi="Times New Roman" w:cs="Times New Roman (Body CS)"/>
        </w:rPr>
      </w:pPr>
    </w:p>
    <w:p w14:paraId="6B7340FC" w14:textId="77777777" w:rsidR="006F4CDD" w:rsidRPr="00FB4B49" w:rsidRDefault="006F4CDD" w:rsidP="00FB4B49">
      <w:pPr>
        <w:ind w:firstLine="720"/>
        <w:rPr>
          <w:rFonts w:ascii="Times New Roman" w:hAnsi="Times New Roman" w:cs="Times New Roman (Body CS)"/>
        </w:rPr>
      </w:pPr>
    </w:p>
    <w:p w14:paraId="6AF98B54" w14:textId="5293C98E" w:rsidR="000031F6" w:rsidRPr="004F1623" w:rsidRDefault="000031F6" w:rsidP="000031F6">
      <w:pPr>
        <w:pStyle w:val="ListParagraph"/>
        <w:numPr>
          <w:ilvl w:val="0"/>
          <w:numId w:val="3"/>
        </w:numPr>
        <w:rPr>
          <w:rFonts w:ascii="Times New Roman" w:hAnsi="Times New Roman" w:cs="Times New Roman (Body CS)"/>
          <w:b/>
        </w:rPr>
      </w:pPr>
      <w:proofErr w:type="spellStart"/>
      <w:r w:rsidRPr="004F1623">
        <w:rPr>
          <w:rFonts w:ascii="Times New Roman" w:hAnsi="Times New Roman" w:cs="Times New Roman (Body CS)"/>
          <w:b/>
        </w:rPr>
        <w:t>Setiya’</w:t>
      </w:r>
      <w:r w:rsidR="007637C7" w:rsidRPr="004F1623">
        <w:rPr>
          <w:rFonts w:ascii="Times New Roman" w:hAnsi="Times New Roman" w:cs="Times New Roman (Body CS)"/>
          <w:b/>
        </w:rPr>
        <w:t>s</w:t>
      </w:r>
      <w:proofErr w:type="spellEnd"/>
      <w:r w:rsidR="007637C7" w:rsidRPr="004F1623">
        <w:rPr>
          <w:rFonts w:ascii="Times New Roman" w:hAnsi="Times New Roman" w:cs="Times New Roman (Body CS)"/>
          <w:b/>
        </w:rPr>
        <w:t xml:space="preserve"> </w:t>
      </w:r>
      <w:r w:rsidR="0054358B" w:rsidRPr="004F1623">
        <w:rPr>
          <w:rFonts w:ascii="Times New Roman" w:hAnsi="Times New Roman" w:cs="Times New Roman (Body CS)"/>
          <w:b/>
        </w:rPr>
        <w:t xml:space="preserve">inference </w:t>
      </w:r>
      <w:r w:rsidR="00616572" w:rsidRPr="004F1623">
        <w:rPr>
          <w:rFonts w:ascii="Times New Roman" w:hAnsi="Times New Roman" w:cs="Times New Roman (Body CS)"/>
          <w:b/>
        </w:rPr>
        <w:t xml:space="preserve">from BBC to </w:t>
      </w:r>
      <w:proofErr w:type="spellStart"/>
      <w:r w:rsidR="00616572" w:rsidRPr="004F1623">
        <w:rPr>
          <w:rFonts w:ascii="Times New Roman" w:hAnsi="Times New Roman" w:cs="Times New Roman (Body CS)"/>
          <w:b/>
        </w:rPr>
        <w:t>D</w:t>
      </w:r>
      <w:r w:rsidR="000269EF" w:rsidRPr="004F1623">
        <w:rPr>
          <w:rFonts w:ascii="Times New Roman" w:hAnsi="Times New Roman" w:cs="Times New Roman (Body CS)"/>
          <w:b/>
        </w:rPr>
        <w:t>eflationism</w:t>
      </w:r>
      <w:proofErr w:type="spellEnd"/>
      <w:r w:rsidR="0054358B" w:rsidRPr="004F1623">
        <w:rPr>
          <w:rFonts w:ascii="Times New Roman" w:hAnsi="Times New Roman" w:cs="Times New Roman (Body CS)"/>
          <w:b/>
        </w:rPr>
        <w:t>, rebutted</w:t>
      </w:r>
    </w:p>
    <w:p w14:paraId="0AA822FB" w14:textId="78D0DF2E" w:rsidR="0073471C" w:rsidRDefault="0073471C" w:rsidP="0073471C">
      <w:pPr>
        <w:rPr>
          <w:rFonts w:ascii="Times New Roman" w:hAnsi="Times New Roman" w:cs="Times New Roman (Body CS)"/>
        </w:rPr>
      </w:pPr>
    </w:p>
    <w:p w14:paraId="000ED230" w14:textId="074AC3C3" w:rsidR="0073471C" w:rsidRDefault="0073471C" w:rsidP="0073471C">
      <w:pPr>
        <w:ind w:firstLine="720"/>
        <w:rPr>
          <w:rFonts w:ascii="Times New Roman" w:hAnsi="Times New Roman" w:cs="Times New Roman (Body CS)"/>
        </w:rPr>
      </w:pPr>
      <w:r>
        <w:rPr>
          <w:rFonts w:ascii="Times New Roman" w:hAnsi="Times New Roman" w:cs="Times New Roman (Body CS)"/>
        </w:rPr>
        <w:t xml:space="preserve">Let’s grant, for the sake of argument, that BBC is true.  Does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follow?  In this section, I argue that it does not.</w:t>
      </w:r>
    </w:p>
    <w:p w14:paraId="5A44B587" w14:textId="22865EFF" w:rsidR="0073471C" w:rsidRDefault="0073471C" w:rsidP="0073471C">
      <w:pPr>
        <w:ind w:firstLine="720"/>
        <w:rPr>
          <w:rFonts w:ascii="Times New Roman" w:hAnsi="Times New Roman" w:cs="Times New Roman (Body CS)"/>
        </w:rPr>
      </w:pPr>
      <w:r>
        <w:rPr>
          <w:rFonts w:ascii="Times New Roman" w:hAnsi="Times New Roman" w:cs="Times New Roman (Body CS)"/>
        </w:rPr>
        <w:t xml:space="preserve">The inference from BBC to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may seem plausible.  After all, BBC is an identity statement.  It says that believing p on the grounds that q </w:t>
      </w:r>
      <w:r w:rsidRPr="0073471C">
        <w:rPr>
          <w:rFonts w:ascii="Times New Roman" w:hAnsi="Times New Roman" w:cs="Times New Roman (Body CS)"/>
          <w:i/>
        </w:rPr>
        <w:t>is identical to</w:t>
      </w:r>
      <w:r>
        <w:rPr>
          <w:rFonts w:ascii="Times New Roman" w:hAnsi="Times New Roman" w:cs="Times New Roman (Body CS)"/>
        </w:rPr>
        <w:t xml:space="preserve"> believing the conjunction:  p, and the fact that q is evidence that p.  If this identity statement is true, then it </w:t>
      </w:r>
      <w:r>
        <w:rPr>
          <w:rFonts w:ascii="Times New Roman" w:hAnsi="Times New Roman" w:cs="Times New Roman (Body CS)"/>
        </w:rPr>
        <w:lastRenderedPageBreak/>
        <w:t xml:space="preserve">follows that epistemic agency </w:t>
      </w:r>
      <w:r w:rsidRPr="0073471C">
        <w:rPr>
          <w:rFonts w:ascii="Times New Roman" w:hAnsi="Times New Roman" w:cs="Times New Roman (Body CS)"/>
          <w:i/>
        </w:rPr>
        <w:t xml:space="preserve">involves </w:t>
      </w:r>
      <w:r>
        <w:rPr>
          <w:rFonts w:ascii="Times New Roman" w:hAnsi="Times New Roman" w:cs="Times New Roman (Body CS)"/>
          <w:i/>
        </w:rPr>
        <w:t>nothing over and above</w:t>
      </w:r>
      <w:r>
        <w:rPr>
          <w:rFonts w:ascii="Times New Roman" w:hAnsi="Times New Roman" w:cs="Times New Roman (Body CS)"/>
        </w:rPr>
        <w:t xml:space="preserve"> our having certain kinds of belief (viz., beliefs in conjunction of the form just mentioned).  And isn’t this just to say that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is true?</w:t>
      </w:r>
    </w:p>
    <w:p w14:paraId="293D8DAE" w14:textId="098603C7" w:rsidR="0073471C" w:rsidRDefault="0073471C" w:rsidP="0073471C">
      <w:pPr>
        <w:ind w:firstLine="720"/>
        <w:rPr>
          <w:rFonts w:ascii="Times New Roman" w:hAnsi="Times New Roman" w:cs="Times New Roman (Body CS)"/>
        </w:rPr>
      </w:pPr>
      <w:r>
        <w:rPr>
          <w:rFonts w:ascii="Times New Roman" w:hAnsi="Times New Roman" w:cs="Times New Roman (Body CS)"/>
        </w:rPr>
        <w:t xml:space="preserve">No.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says </w:t>
      </w:r>
      <w:r w:rsidRPr="0073471C">
        <w:rPr>
          <w:rFonts w:ascii="Times New Roman" w:hAnsi="Times New Roman" w:cs="Times New Roman (Body CS)"/>
          <w:i/>
        </w:rPr>
        <w:t>not only</w:t>
      </w:r>
      <w:r>
        <w:rPr>
          <w:rFonts w:ascii="Times New Roman" w:hAnsi="Times New Roman" w:cs="Times New Roman (Body CS)"/>
        </w:rPr>
        <w:t xml:space="preserve"> that epistemic agency involves nothing over and above our having certain kinds of belief.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also says that epistemic agency </w:t>
      </w:r>
      <w:r w:rsidRPr="0073471C">
        <w:rPr>
          <w:rFonts w:ascii="Times New Roman" w:hAnsi="Times New Roman" w:cs="Times New Roman (Body CS)"/>
          <w:i/>
        </w:rPr>
        <w:t>does not</w:t>
      </w:r>
      <w:r>
        <w:rPr>
          <w:rFonts w:ascii="Times New Roman" w:hAnsi="Times New Roman" w:cs="Times New Roman (Body CS)"/>
        </w:rPr>
        <w:t xml:space="preserve"> involve the exercise of a capacity to cause anything.  But this further claim about what epistemic agency does not involve doesn’t follow from the claim that epistemic agency involves nothing over and above our having certain kinds of belief.  For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is consistent with the claim that our having the relevant kinds of belief involves the exercise of a capacity to cause certain kinds of things.  </w:t>
      </w:r>
      <w:r w:rsidR="00B471CB">
        <w:rPr>
          <w:rFonts w:ascii="Times New Roman" w:hAnsi="Times New Roman" w:cs="Times New Roman (Body CS)"/>
        </w:rPr>
        <w:t xml:space="preserve">And </w:t>
      </w:r>
      <w:proofErr w:type="spellStart"/>
      <w:r w:rsidR="00B471CB">
        <w:rPr>
          <w:rFonts w:ascii="Times New Roman" w:hAnsi="Times New Roman" w:cs="Times New Roman (Body CS)"/>
        </w:rPr>
        <w:t>Setiya</w:t>
      </w:r>
      <w:proofErr w:type="spellEnd"/>
      <w:r w:rsidR="00B471CB">
        <w:rPr>
          <w:rFonts w:ascii="Times New Roman" w:hAnsi="Times New Roman" w:cs="Times New Roman (Body CS)"/>
        </w:rPr>
        <w:t xml:space="preserve"> says nothing to rule out that latter claim.  For all that </w:t>
      </w:r>
      <w:proofErr w:type="spellStart"/>
      <w:r w:rsidR="00B471CB">
        <w:rPr>
          <w:rFonts w:ascii="Times New Roman" w:hAnsi="Times New Roman" w:cs="Times New Roman (Body CS)"/>
        </w:rPr>
        <w:t>Setiya</w:t>
      </w:r>
      <w:proofErr w:type="spellEnd"/>
      <w:r w:rsidR="00B471CB">
        <w:rPr>
          <w:rFonts w:ascii="Times New Roman" w:hAnsi="Times New Roman" w:cs="Times New Roman (Body CS)"/>
        </w:rPr>
        <w:t xml:space="preserve"> argues, our believing conjunctions of the form </w:t>
      </w:r>
      <w:r w:rsidR="00B471CB" w:rsidRPr="00B471CB">
        <w:rPr>
          <w:rFonts w:ascii="Times New Roman" w:hAnsi="Times New Roman" w:cs="Times New Roman (Body CS)"/>
          <w:i/>
        </w:rPr>
        <w:t>p, and the fact that q is evidence that p</w:t>
      </w:r>
      <w:r w:rsidR="00B471CB">
        <w:rPr>
          <w:rFonts w:ascii="Times New Roman" w:hAnsi="Times New Roman" w:cs="Times New Roman (Body CS)"/>
        </w:rPr>
        <w:t xml:space="preserve"> involves the exercise of our capacity to cause certain kinds of things to happen.</w:t>
      </w:r>
    </w:p>
    <w:p w14:paraId="754BAE73" w14:textId="181A6A1E" w:rsidR="00B471CB" w:rsidRDefault="00B471CB" w:rsidP="0073471C">
      <w:pPr>
        <w:ind w:firstLine="720"/>
        <w:rPr>
          <w:rFonts w:ascii="Times New Roman" w:hAnsi="Times New Roman" w:cs="Times New Roman (Body CS)"/>
        </w:rPr>
      </w:pPr>
      <w:r>
        <w:rPr>
          <w:rFonts w:ascii="Times New Roman" w:hAnsi="Times New Roman" w:cs="Times New Roman (Body CS)"/>
        </w:rPr>
        <w:t>It is plausible that many of our beliefs are beliefs that we can have only if we exercise our capacity to cause</w:t>
      </w:r>
      <w:r w:rsidR="00F6725D">
        <w:rPr>
          <w:rFonts w:ascii="Times New Roman" w:hAnsi="Times New Roman" w:cs="Times New Roman (Body CS)"/>
        </w:rPr>
        <w:t>, or to be affected by,</w:t>
      </w:r>
      <w:r>
        <w:rPr>
          <w:rFonts w:ascii="Times New Roman" w:hAnsi="Times New Roman" w:cs="Times New Roman (Body CS)"/>
        </w:rPr>
        <w:t xml:space="preserve"> certain kinds of thing.  When playing tennis, I might believe that </w:t>
      </w:r>
      <w:r w:rsidRPr="00B471CB">
        <w:rPr>
          <w:rFonts w:ascii="Times New Roman" w:hAnsi="Times New Roman" w:cs="Times New Roman (Body CS)"/>
          <w:i/>
        </w:rPr>
        <w:t>this</w:t>
      </w:r>
      <w:r>
        <w:rPr>
          <w:rFonts w:ascii="Times New Roman" w:hAnsi="Times New Roman" w:cs="Times New Roman (Body CS)"/>
        </w:rPr>
        <w:t xml:space="preserve"> is my most effective underhand return:  my having a belief of this kind is possible only if I exercise one of my athletic capacities while having the belief.  In the absence of such an exercise, there is nothing for the demonstrative element in my belief to pick out, and so there are no truth-conditions that I believe to obtain.  When trying to decide which color to paint my walls, I might believe that </w:t>
      </w:r>
      <w:r w:rsidRPr="00F6725D">
        <w:rPr>
          <w:rFonts w:ascii="Times New Roman" w:hAnsi="Times New Roman" w:cs="Times New Roman (Body CS)"/>
          <w:i/>
        </w:rPr>
        <w:t>this</w:t>
      </w:r>
      <w:r>
        <w:rPr>
          <w:rFonts w:ascii="Times New Roman" w:hAnsi="Times New Roman" w:cs="Times New Roman (Body CS)"/>
        </w:rPr>
        <w:t xml:space="preserve"> shade of blue is more appealing than </w:t>
      </w:r>
      <w:r w:rsidRPr="00F6725D">
        <w:rPr>
          <w:rFonts w:ascii="Times New Roman" w:hAnsi="Times New Roman" w:cs="Times New Roman (Body CS)"/>
          <w:i/>
        </w:rPr>
        <w:t>that</w:t>
      </w:r>
      <w:r>
        <w:rPr>
          <w:rFonts w:ascii="Times New Roman" w:hAnsi="Times New Roman" w:cs="Times New Roman (Body CS)"/>
        </w:rPr>
        <w:t xml:space="preserve"> one:  my having a belief of this kind is possible only if I exercise some of my perceptual capacities while having the belief.  In the absence of such an exercise, there is nothing for the demonstrative elements in my belief to pick out, and so there are no truth-conditions that I believe to obtain.  In such cases, it’s a condition of the possibility of my holding a certain kind of belief that I exercise a capacity to cause</w:t>
      </w:r>
      <w:r w:rsidR="00F6725D">
        <w:rPr>
          <w:rFonts w:ascii="Times New Roman" w:hAnsi="Times New Roman" w:cs="Times New Roman (Body CS)"/>
        </w:rPr>
        <w:t xml:space="preserve"> certain things to occur, or to be affected by certain perceptible objects.</w:t>
      </w:r>
    </w:p>
    <w:p w14:paraId="24523477" w14:textId="593DCAEF" w:rsidR="00B65BDB" w:rsidRDefault="00FC31C0" w:rsidP="00B65BDB">
      <w:pPr>
        <w:ind w:firstLine="720"/>
        <w:rPr>
          <w:rFonts w:ascii="Times New Roman" w:hAnsi="Times New Roman" w:cs="Times New Roman (Body CS)"/>
        </w:rPr>
      </w:pPr>
      <w:r>
        <w:rPr>
          <w:rFonts w:ascii="Times New Roman" w:hAnsi="Times New Roman" w:cs="Times New Roman (Body CS)"/>
        </w:rPr>
        <w:t>The cases above involve demonstrative reference, and so each such belief involves the exercise of a particular practical or perceptual capacity</w:t>
      </w:r>
      <w:r w:rsidR="00F6725D">
        <w:rPr>
          <w:rFonts w:ascii="Times New Roman" w:hAnsi="Times New Roman" w:cs="Times New Roman (Body CS)"/>
        </w:rPr>
        <w:t xml:space="preserve"> for such reference</w:t>
      </w:r>
      <w:r>
        <w:rPr>
          <w:rFonts w:ascii="Times New Roman" w:hAnsi="Times New Roman" w:cs="Times New Roman (Body CS)"/>
        </w:rPr>
        <w:t>.  But even some beliefs that do not involve demonstrative reference might nonetheless be such that our having them involves our exercise of a capacity to cause certain kinds of things.  Obvious cases of this sort are our beliefs conc</w:t>
      </w:r>
      <w:r w:rsidR="00B65BDB">
        <w:rPr>
          <w:rFonts w:ascii="Times New Roman" w:hAnsi="Times New Roman" w:cs="Times New Roman (Body CS)"/>
        </w:rPr>
        <w:t>erning which games</w:t>
      </w:r>
      <w:r>
        <w:rPr>
          <w:rFonts w:ascii="Times New Roman" w:hAnsi="Times New Roman" w:cs="Times New Roman (Body CS)"/>
        </w:rPr>
        <w:t xml:space="preserve"> are most </w:t>
      </w:r>
      <w:r w:rsidR="00B65BDB">
        <w:rPr>
          <w:rFonts w:ascii="Times New Roman" w:hAnsi="Times New Roman" w:cs="Times New Roman (Body CS)"/>
        </w:rPr>
        <w:t>challenging</w:t>
      </w:r>
      <w:r>
        <w:rPr>
          <w:rFonts w:ascii="Times New Roman" w:hAnsi="Times New Roman" w:cs="Times New Roman (Body CS)"/>
        </w:rPr>
        <w:t xml:space="preserve"> to play, or which foods are most enjoyable to eat.  Even when such beliefs involve no demonstrative reference, our having </w:t>
      </w:r>
      <w:r w:rsidR="00B65BDB">
        <w:rPr>
          <w:rFonts w:ascii="Times New Roman" w:hAnsi="Times New Roman" w:cs="Times New Roman (Body CS)"/>
        </w:rPr>
        <w:t>them</w:t>
      </w:r>
      <w:r>
        <w:rPr>
          <w:rFonts w:ascii="Times New Roman" w:hAnsi="Times New Roman" w:cs="Times New Roman (Body CS)"/>
        </w:rPr>
        <w:t xml:space="preserve"> requires our use of the relevant concepts, </w:t>
      </w:r>
      <w:r w:rsidR="00B65BDB">
        <w:rPr>
          <w:rFonts w:ascii="Times New Roman" w:hAnsi="Times New Roman" w:cs="Times New Roman (Body CS)"/>
        </w:rPr>
        <w:t>which</w:t>
      </w:r>
      <w:r>
        <w:rPr>
          <w:rFonts w:ascii="Times New Roman" w:hAnsi="Times New Roman" w:cs="Times New Roman (Body CS)"/>
        </w:rPr>
        <w:t xml:space="preserve"> in turn requires our exercise of our imaginative, practical, and perceptual capacities.</w:t>
      </w:r>
      <w:r w:rsidR="00B65BDB">
        <w:rPr>
          <w:rFonts w:ascii="Times New Roman" w:hAnsi="Times New Roman" w:cs="Times New Roman (Body CS)"/>
        </w:rPr>
        <w:t xml:space="preserve">  </w:t>
      </w:r>
    </w:p>
    <w:p w14:paraId="384D6E0E" w14:textId="04942549" w:rsidR="00B65BDB" w:rsidRDefault="00B65BDB" w:rsidP="00B65BDB">
      <w:pPr>
        <w:ind w:firstLine="720"/>
        <w:rPr>
          <w:rFonts w:ascii="Times New Roman" w:hAnsi="Times New Roman" w:cs="Times New Roman (Body CS)"/>
        </w:rPr>
      </w:pPr>
      <w:r>
        <w:rPr>
          <w:rFonts w:ascii="Times New Roman" w:hAnsi="Times New Roman" w:cs="Times New Roman (Body CS)"/>
        </w:rPr>
        <w:t xml:space="preserve">Finally, consider our beliefs concerning which things are </w:t>
      </w:r>
      <w:r w:rsidRPr="003D34D4">
        <w:rPr>
          <w:rFonts w:ascii="Times New Roman" w:hAnsi="Times New Roman" w:cs="Times New Roman (Body CS)"/>
          <w:i/>
        </w:rPr>
        <w:t>right</w:t>
      </w:r>
      <w:r>
        <w:rPr>
          <w:rFonts w:ascii="Times New Roman" w:hAnsi="Times New Roman" w:cs="Times New Roman (Body CS)"/>
        </w:rPr>
        <w:t xml:space="preserve"> or </w:t>
      </w:r>
      <w:r w:rsidRPr="003D34D4">
        <w:rPr>
          <w:rFonts w:ascii="Times New Roman" w:hAnsi="Times New Roman" w:cs="Times New Roman (Body CS)"/>
          <w:i/>
        </w:rPr>
        <w:t>wrong</w:t>
      </w:r>
      <w:r>
        <w:rPr>
          <w:rFonts w:ascii="Times New Roman" w:hAnsi="Times New Roman" w:cs="Times New Roman (Body CS)"/>
        </w:rPr>
        <w:t xml:space="preserve">, </w:t>
      </w:r>
      <w:r w:rsidRPr="003D34D4">
        <w:rPr>
          <w:rFonts w:ascii="Times New Roman" w:hAnsi="Times New Roman" w:cs="Times New Roman (Body CS)"/>
          <w:i/>
        </w:rPr>
        <w:t xml:space="preserve">better </w:t>
      </w:r>
      <w:r>
        <w:rPr>
          <w:rFonts w:ascii="Times New Roman" w:hAnsi="Times New Roman" w:cs="Times New Roman (Body CS)"/>
        </w:rPr>
        <w:t xml:space="preserve">or </w:t>
      </w:r>
      <w:r w:rsidRPr="003D34D4">
        <w:rPr>
          <w:rFonts w:ascii="Times New Roman" w:hAnsi="Times New Roman" w:cs="Times New Roman (Body CS)"/>
          <w:i/>
        </w:rPr>
        <w:t>worse</w:t>
      </w:r>
      <w:r>
        <w:rPr>
          <w:rFonts w:ascii="Times New Roman" w:hAnsi="Times New Roman" w:cs="Times New Roman (Body CS)"/>
        </w:rPr>
        <w:t xml:space="preserve">, </w:t>
      </w:r>
      <w:r w:rsidRPr="003D34D4">
        <w:rPr>
          <w:rFonts w:ascii="Times New Roman" w:hAnsi="Times New Roman" w:cs="Times New Roman (Body CS)"/>
          <w:i/>
        </w:rPr>
        <w:t>appropriate</w:t>
      </w:r>
      <w:r>
        <w:rPr>
          <w:rFonts w:ascii="Times New Roman" w:hAnsi="Times New Roman" w:cs="Times New Roman (Body CS)"/>
        </w:rPr>
        <w:t xml:space="preserve"> or </w:t>
      </w:r>
      <w:r w:rsidRPr="003D34D4">
        <w:rPr>
          <w:rFonts w:ascii="Times New Roman" w:hAnsi="Times New Roman" w:cs="Times New Roman (Body CS)"/>
          <w:i/>
        </w:rPr>
        <w:t>inappropriate</w:t>
      </w:r>
      <w:r>
        <w:rPr>
          <w:rFonts w:ascii="Times New Roman" w:hAnsi="Times New Roman" w:cs="Times New Roman (Body CS)"/>
        </w:rPr>
        <w:t>, and so on.  We can employ th</w:t>
      </w:r>
      <w:r w:rsidR="003D34D4">
        <w:rPr>
          <w:rFonts w:ascii="Times New Roman" w:hAnsi="Times New Roman" w:cs="Times New Roman (Body CS)"/>
        </w:rPr>
        <w:t>os</w:t>
      </w:r>
      <w:r>
        <w:rPr>
          <w:rFonts w:ascii="Times New Roman" w:hAnsi="Times New Roman" w:cs="Times New Roman (Body CS)"/>
        </w:rPr>
        <w:t xml:space="preserve">e </w:t>
      </w:r>
      <w:r w:rsidR="003D34D4">
        <w:rPr>
          <w:rFonts w:ascii="Times New Roman" w:hAnsi="Times New Roman" w:cs="Times New Roman (Body CS)"/>
        </w:rPr>
        <w:t xml:space="preserve">evaluative concepts </w:t>
      </w:r>
      <w:r>
        <w:rPr>
          <w:rFonts w:ascii="Times New Roman" w:hAnsi="Times New Roman" w:cs="Times New Roman (Body CS)"/>
        </w:rPr>
        <w:t xml:space="preserve">only if, and only because, those concepts can play some role in our lives.  Concepts that </w:t>
      </w:r>
      <w:r w:rsidR="00F0311B">
        <w:rPr>
          <w:rFonts w:ascii="Times New Roman" w:hAnsi="Times New Roman" w:cs="Times New Roman (Body CS)"/>
        </w:rPr>
        <w:t xml:space="preserve">can </w:t>
      </w:r>
      <w:r>
        <w:rPr>
          <w:rFonts w:ascii="Times New Roman" w:hAnsi="Times New Roman" w:cs="Times New Roman (Body CS)"/>
        </w:rPr>
        <w:t>play no such role – e.g.,</w:t>
      </w:r>
      <w:r w:rsidR="003D34D4">
        <w:rPr>
          <w:rFonts w:ascii="Times New Roman" w:hAnsi="Times New Roman" w:cs="Times New Roman (Body CS)"/>
        </w:rPr>
        <w:t xml:space="preserve"> such concepts as (for me at least)</w:t>
      </w:r>
      <w:r>
        <w:rPr>
          <w:rFonts w:ascii="Times New Roman" w:hAnsi="Times New Roman" w:cs="Times New Roman (Body CS)"/>
        </w:rPr>
        <w:t xml:space="preserve"> </w:t>
      </w:r>
      <w:r w:rsidRPr="00F0311B">
        <w:rPr>
          <w:rFonts w:ascii="Times New Roman" w:hAnsi="Times New Roman" w:cs="Times New Roman (Body CS)"/>
          <w:i/>
        </w:rPr>
        <w:t>witch</w:t>
      </w:r>
      <w:r>
        <w:rPr>
          <w:rFonts w:ascii="Times New Roman" w:hAnsi="Times New Roman" w:cs="Times New Roman (Body CS)"/>
        </w:rPr>
        <w:t xml:space="preserve">, </w:t>
      </w:r>
      <w:r w:rsidR="00F0311B">
        <w:rPr>
          <w:rFonts w:ascii="Times New Roman" w:hAnsi="Times New Roman" w:cs="Times New Roman (Body CS)"/>
          <w:i/>
        </w:rPr>
        <w:t>upstart</w:t>
      </w:r>
      <w:r>
        <w:rPr>
          <w:rFonts w:ascii="Times New Roman" w:hAnsi="Times New Roman" w:cs="Times New Roman (Body CS)"/>
        </w:rPr>
        <w:t xml:space="preserve">, </w:t>
      </w:r>
      <w:r w:rsidR="00F0311B">
        <w:rPr>
          <w:rFonts w:ascii="Times New Roman" w:hAnsi="Times New Roman" w:cs="Times New Roman (Body CS)"/>
          <w:i/>
        </w:rPr>
        <w:t>vermin</w:t>
      </w:r>
      <w:r w:rsidR="003D34D4">
        <w:rPr>
          <w:rFonts w:ascii="Times New Roman" w:hAnsi="Times New Roman" w:cs="Times New Roman (Body CS)"/>
          <w:i/>
        </w:rPr>
        <w:t>, divine</w:t>
      </w:r>
      <w:r>
        <w:rPr>
          <w:rFonts w:ascii="Times New Roman" w:hAnsi="Times New Roman" w:cs="Times New Roman (Body CS)"/>
        </w:rPr>
        <w:t xml:space="preserve"> – are concepts that can be </w:t>
      </w:r>
      <w:r w:rsidRPr="00B65BDB">
        <w:rPr>
          <w:rFonts w:ascii="Times New Roman" w:hAnsi="Times New Roman" w:cs="Times New Roman (Body CS)"/>
          <w:i/>
        </w:rPr>
        <w:t>mentioned</w:t>
      </w:r>
      <w:r>
        <w:rPr>
          <w:rFonts w:ascii="Times New Roman" w:hAnsi="Times New Roman" w:cs="Times New Roman (Body CS)"/>
        </w:rPr>
        <w:t xml:space="preserve"> in our beliefs, but not used in them</w:t>
      </w:r>
      <w:r w:rsidR="003D34D4">
        <w:rPr>
          <w:rFonts w:ascii="Times New Roman" w:hAnsi="Times New Roman" w:cs="Times New Roman (Body CS)"/>
        </w:rPr>
        <w:t>.  In other words, we can attribute beliefs involving such concepts to others</w:t>
      </w:r>
      <w:r w:rsidR="004F1623">
        <w:rPr>
          <w:rFonts w:ascii="Times New Roman" w:hAnsi="Times New Roman" w:cs="Times New Roman (Body CS)"/>
        </w:rPr>
        <w:t xml:space="preserve"> whom we understand only incompletely</w:t>
      </w:r>
      <w:r w:rsidR="003D34D4">
        <w:rPr>
          <w:rFonts w:ascii="Times New Roman" w:hAnsi="Times New Roman" w:cs="Times New Roman (Body CS)"/>
        </w:rPr>
        <w:t>, but we cannot form beliefs involving such concepts ourselves</w:t>
      </w:r>
      <w:r>
        <w:rPr>
          <w:rFonts w:ascii="Times New Roman" w:hAnsi="Times New Roman" w:cs="Times New Roman (Body CS)"/>
        </w:rPr>
        <w:t>.</w:t>
      </w:r>
      <w:r w:rsidR="00F0311B">
        <w:rPr>
          <w:rFonts w:ascii="Times New Roman" w:hAnsi="Times New Roman" w:cs="Times New Roman (Body CS)"/>
        </w:rPr>
        <w:t xml:space="preserve">  Clearly, the same is true of the concept </w:t>
      </w:r>
      <w:r w:rsidR="004F1623" w:rsidRPr="004F1623">
        <w:rPr>
          <w:rFonts w:ascii="Times New Roman" w:hAnsi="Times New Roman" w:cs="Times New Roman (Body CS)"/>
          <w:i/>
        </w:rPr>
        <w:t>having</w:t>
      </w:r>
      <w:r w:rsidR="004F1623">
        <w:rPr>
          <w:rFonts w:ascii="Times New Roman" w:hAnsi="Times New Roman" w:cs="Times New Roman (Body CS)"/>
        </w:rPr>
        <w:t xml:space="preserve"> </w:t>
      </w:r>
      <w:r w:rsidR="00F0311B" w:rsidRPr="003D34D4">
        <w:rPr>
          <w:rFonts w:ascii="Times New Roman" w:hAnsi="Times New Roman" w:cs="Times New Roman (Body CS)"/>
          <w:i/>
        </w:rPr>
        <w:t>evidence</w:t>
      </w:r>
      <w:r w:rsidR="00F0311B">
        <w:rPr>
          <w:rFonts w:ascii="Times New Roman" w:hAnsi="Times New Roman" w:cs="Times New Roman (Body CS)"/>
        </w:rPr>
        <w:t>:  this is a concept that we can use only because the concept can play some role in our lives.  And,</w:t>
      </w:r>
      <w:r w:rsidR="003D34D4">
        <w:rPr>
          <w:rFonts w:ascii="Times New Roman" w:hAnsi="Times New Roman" w:cs="Times New Roman (Body CS)"/>
        </w:rPr>
        <w:t xml:space="preserve"> as I have argued elsewhere</w:t>
      </w:r>
      <w:r w:rsidR="003D34D4">
        <w:rPr>
          <w:rStyle w:val="FootnoteReference"/>
          <w:rFonts w:ascii="Times New Roman" w:hAnsi="Times New Roman" w:cs="Times New Roman (Body CS)"/>
        </w:rPr>
        <w:footnoteReference w:id="8"/>
      </w:r>
      <w:r w:rsidR="003D34D4">
        <w:rPr>
          <w:rFonts w:ascii="Times New Roman" w:hAnsi="Times New Roman" w:cs="Times New Roman (Body CS)"/>
        </w:rPr>
        <w:t xml:space="preserve">, that concept does play a </w:t>
      </w:r>
      <w:r w:rsidR="00F0311B">
        <w:rPr>
          <w:rFonts w:ascii="Times New Roman" w:hAnsi="Times New Roman" w:cs="Times New Roman (Body CS)"/>
        </w:rPr>
        <w:t xml:space="preserve">role in our lives, guiding our beliefs and our </w:t>
      </w:r>
      <w:proofErr w:type="spellStart"/>
      <w:r w:rsidR="00F0311B">
        <w:rPr>
          <w:rFonts w:ascii="Times New Roman" w:hAnsi="Times New Roman" w:cs="Times New Roman (Body CS)"/>
        </w:rPr>
        <w:t>credal</w:t>
      </w:r>
      <w:proofErr w:type="spellEnd"/>
      <w:r w:rsidR="00F0311B">
        <w:rPr>
          <w:rFonts w:ascii="Times New Roman" w:hAnsi="Times New Roman" w:cs="Times New Roman (Body CS)"/>
        </w:rPr>
        <w:t xml:space="preserve"> states, as well as guiding our responses to the beliefs and </w:t>
      </w:r>
      <w:proofErr w:type="spellStart"/>
      <w:r w:rsidR="00F0311B">
        <w:rPr>
          <w:rFonts w:ascii="Times New Roman" w:hAnsi="Times New Roman" w:cs="Times New Roman (Body CS)"/>
        </w:rPr>
        <w:t>credal</w:t>
      </w:r>
      <w:proofErr w:type="spellEnd"/>
      <w:r w:rsidR="00F0311B">
        <w:rPr>
          <w:rFonts w:ascii="Times New Roman" w:hAnsi="Times New Roman" w:cs="Times New Roman (Body CS)"/>
        </w:rPr>
        <w:t xml:space="preserve"> states of others.  But the concept can play such a role only if, and only because, we exercise a capacity to adjust our beliefs and </w:t>
      </w:r>
      <w:proofErr w:type="spellStart"/>
      <w:r w:rsidR="00F0311B">
        <w:rPr>
          <w:rFonts w:ascii="Times New Roman" w:hAnsi="Times New Roman" w:cs="Times New Roman (Body CS)"/>
        </w:rPr>
        <w:t>c</w:t>
      </w:r>
      <w:r w:rsidR="004F1623">
        <w:rPr>
          <w:rFonts w:ascii="Times New Roman" w:hAnsi="Times New Roman" w:cs="Times New Roman (Body CS)"/>
        </w:rPr>
        <w:t>redal</w:t>
      </w:r>
      <w:proofErr w:type="spellEnd"/>
      <w:r w:rsidR="004F1623">
        <w:rPr>
          <w:rFonts w:ascii="Times New Roman" w:hAnsi="Times New Roman" w:cs="Times New Roman (Body CS)"/>
        </w:rPr>
        <w:t xml:space="preserve"> states in response to the </w:t>
      </w:r>
      <w:r w:rsidR="00F0311B">
        <w:rPr>
          <w:rFonts w:ascii="Times New Roman" w:hAnsi="Times New Roman" w:cs="Times New Roman (Body CS)"/>
        </w:rPr>
        <w:t>evidence</w:t>
      </w:r>
      <w:r w:rsidR="004F1623">
        <w:rPr>
          <w:rFonts w:ascii="Times New Roman" w:hAnsi="Times New Roman" w:cs="Times New Roman (Body CS)"/>
        </w:rPr>
        <w:t xml:space="preserve"> we have</w:t>
      </w:r>
      <w:r w:rsidR="00F0311B">
        <w:rPr>
          <w:rFonts w:ascii="Times New Roman" w:hAnsi="Times New Roman" w:cs="Times New Roman (Body CS)"/>
        </w:rPr>
        <w:t xml:space="preserve">, and we exercise a capacity to evaluate the beliefs and </w:t>
      </w:r>
      <w:proofErr w:type="spellStart"/>
      <w:r w:rsidR="00F0311B">
        <w:rPr>
          <w:rFonts w:ascii="Times New Roman" w:hAnsi="Times New Roman" w:cs="Times New Roman (Body CS)"/>
        </w:rPr>
        <w:t>credal</w:t>
      </w:r>
      <w:proofErr w:type="spellEnd"/>
      <w:r w:rsidR="00F0311B">
        <w:rPr>
          <w:rFonts w:ascii="Times New Roman" w:hAnsi="Times New Roman" w:cs="Times New Roman (Body CS)"/>
        </w:rPr>
        <w:t xml:space="preserve"> sta</w:t>
      </w:r>
      <w:r w:rsidR="003D34D4">
        <w:rPr>
          <w:rFonts w:ascii="Times New Roman" w:hAnsi="Times New Roman" w:cs="Times New Roman (Body CS)"/>
        </w:rPr>
        <w:t>tes of others by appeal to the</w:t>
      </w:r>
      <w:r w:rsidR="00F0311B">
        <w:rPr>
          <w:rFonts w:ascii="Times New Roman" w:hAnsi="Times New Roman" w:cs="Times New Roman (Body CS)"/>
        </w:rPr>
        <w:t xml:space="preserve"> evidence</w:t>
      </w:r>
      <w:r w:rsidR="004F1623">
        <w:rPr>
          <w:rFonts w:ascii="Times New Roman" w:hAnsi="Times New Roman" w:cs="Times New Roman (Body CS)"/>
        </w:rPr>
        <w:t xml:space="preserve"> they have</w:t>
      </w:r>
      <w:r w:rsidR="00F0311B">
        <w:rPr>
          <w:rFonts w:ascii="Times New Roman" w:hAnsi="Times New Roman" w:cs="Times New Roman (Body CS)"/>
        </w:rPr>
        <w:t>.</w:t>
      </w:r>
      <w:r w:rsidR="003D34D4">
        <w:rPr>
          <w:rFonts w:ascii="Times New Roman" w:hAnsi="Times New Roman" w:cs="Times New Roman (Body CS)"/>
        </w:rPr>
        <w:t xml:space="preserve">  </w:t>
      </w:r>
      <w:r w:rsidR="003D34D4">
        <w:rPr>
          <w:rFonts w:ascii="Times New Roman" w:hAnsi="Times New Roman" w:cs="Times New Roman (Body CS)"/>
        </w:rPr>
        <w:lastRenderedPageBreak/>
        <w:t>Had we no such capacity – were we in no better posit</w:t>
      </w:r>
      <w:r w:rsidR="004F1623">
        <w:rPr>
          <w:rFonts w:ascii="Times New Roman" w:hAnsi="Times New Roman" w:cs="Times New Roman (Body CS)"/>
        </w:rPr>
        <w:t>ion to adjust our beliefs to the</w:t>
      </w:r>
      <w:r w:rsidR="003D34D4">
        <w:rPr>
          <w:rFonts w:ascii="Times New Roman" w:hAnsi="Times New Roman" w:cs="Times New Roman (Body CS)"/>
        </w:rPr>
        <w:t xml:space="preserve"> evidence</w:t>
      </w:r>
      <w:r w:rsidR="004F1623">
        <w:rPr>
          <w:rFonts w:ascii="Times New Roman" w:hAnsi="Times New Roman" w:cs="Times New Roman (Body CS)"/>
        </w:rPr>
        <w:t xml:space="preserve"> we have</w:t>
      </w:r>
      <w:r w:rsidR="003D34D4">
        <w:rPr>
          <w:rFonts w:ascii="Times New Roman" w:hAnsi="Times New Roman" w:cs="Times New Roman (Body CS)"/>
        </w:rPr>
        <w:t xml:space="preserve"> than we are, say, to adjust our beliefs to the number of neutrons in the nearest galaxy – we would not possess, and could not use, the concept </w:t>
      </w:r>
      <w:r w:rsidR="003D34D4" w:rsidRPr="003D34D4">
        <w:rPr>
          <w:rFonts w:ascii="Times New Roman" w:hAnsi="Times New Roman" w:cs="Times New Roman (Body CS)"/>
          <w:i/>
        </w:rPr>
        <w:t>evidence</w:t>
      </w:r>
      <w:r w:rsidR="003D34D4">
        <w:rPr>
          <w:rFonts w:ascii="Times New Roman" w:hAnsi="Times New Roman" w:cs="Times New Roman (Body CS)"/>
        </w:rPr>
        <w:t>; we could, at best, describe agents who do use such a concept.</w:t>
      </w:r>
    </w:p>
    <w:p w14:paraId="72B47783" w14:textId="4216200C" w:rsidR="003D34D4" w:rsidRPr="003D34D4" w:rsidRDefault="003D34D4" w:rsidP="00B65BDB">
      <w:pPr>
        <w:ind w:firstLine="720"/>
        <w:rPr>
          <w:rFonts w:ascii="Times New Roman" w:hAnsi="Times New Roman" w:cs="Times New Roman (Body CS)"/>
        </w:rPr>
      </w:pPr>
      <w:r>
        <w:rPr>
          <w:rFonts w:ascii="Times New Roman" w:hAnsi="Times New Roman" w:cs="Times New Roman (Body CS)"/>
        </w:rPr>
        <w:t>In sum, it is a condition of the possibility of our having beliefs about our evidence</w:t>
      </w:r>
      <w:r w:rsidR="005B566B">
        <w:rPr>
          <w:rFonts w:ascii="Times New Roman" w:hAnsi="Times New Roman" w:cs="Times New Roman (Body CS)"/>
        </w:rPr>
        <w:t xml:space="preserve"> as such</w:t>
      </w:r>
      <w:r>
        <w:rPr>
          <w:rFonts w:ascii="Times New Roman" w:hAnsi="Times New Roman" w:cs="Times New Roman (Body CS)"/>
        </w:rPr>
        <w:t xml:space="preserve"> that we have the concept </w:t>
      </w:r>
      <w:r w:rsidRPr="003D34D4">
        <w:rPr>
          <w:rFonts w:ascii="Times New Roman" w:hAnsi="Times New Roman" w:cs="Times New Roman (Body CS)"/>
          <w:i/>
        </w:rPr>
        <w:t>evidence</w:t>
      </w:r>
      <w:r>
        <w:rPr>
          <w:rFonts w:ascii="Times New Roman" w:hAnsi="Times New Roman" w:cs="Times New Roman (Body CS)"/>
        </w:rPr>
        <w:t xml:space="preserve">, and having that concept requires us to have the capacity to adjust our beliefs and </w:t>
      </w:r>
      <w:proofErr w:type="spellStart"/>
      <w:r>
        <w:rPr>
          <w:rFonts w:ascii="Times New Roman" w:hAnsi="Times New Roman" w:cs="Times New Roman (Body CS)"/>
        </w:rPr>
        <w:t>credal</w:t>
      </w:r>
      <w:proofErr w:type="spellEnd"/>
      <w:r>
        <w:rPr>
          <w:rFonts w:ascii="Times New Roman" w:hAnsi="Times New Roman" w:cs="Times New Roman (Body CS)"/>
        </w:rPr>
        <w:t xml:space="preserve"> states to our evidence.  The latter capacity is a capacity to cause various changes in our overall mental state to occur.  Thus, forming beliefs about evidence requires a capacity to cause various changes to occur.  Even if</w:t>
      </w:r>
      <w:r w:rsidR="00BF53B9">
        <w:rPr>
          <w:rFonts w:ascii="Times New Roman" w:hAnsi="Times New Roman" w:cs="Times New Roman (Body CS)"/>
        </w:rPr>
        <w:t xml:space="preserve"> BBC is true, </w:t>
      </w:r>
      <w:proofErr w:type="spellStart"/>
      <w:r w:rsidR="00BF53B9">
        <w:rPr>
          <w:rFonts w:ascii="Times New Roman" w:hAnsi="Times New Roman" w:cs="Times New Roman (Body CS)"/>
        </w:rPr>
        <w:t>Deflationism</w:t>
      </w:r>
      <w:proofErr w:type="spellEnd"/>
      <w:r w:rsidR="00BF53B9">
        <w:rPr>
          <w:rFonts w:ascii="Times New Roman" w:hAnsi="Times New Roman" w:cs="Times New Roman (Body CS)"/>
        </w:rPr>
        <w:t xml:space="preserve"> doesn’t follow from it, and is anyway plausibly false.  In the next section, however, I will argue that BBC is not even true.</w:t>
      </w:r>
    </w:p>
    <w:p w14:paraId="52E6BC41" w14:textId="3F90EBEC" w:rsidR="0073471C" w:rsidRDefault="0073471C" w:rsidP="0073471C">
      <w:pPr>
        <w:rPr>
          <w:rFonts w:ascii="Times New Roman" w:hAnsi="Times New Roman" w:cs="Times New Roman (Body CS)"/>
        </w:rPr>
      </w:pPr>
    </w:p>
    <w:p w14:paraId="35B797A0" w14:textId="77777777" w:rsidR="006F4CDD" w:rsidRPr="0073471C" w:rsidRDefault="006F4CDD" w:rsidP="0073471C">
      <w:pPr>
        <w:rPr>
          <w:rFonts w:ascii="Times New Roman" w:hAnsi="Times New Roman" w:cs="Times New Roman (Body CS)"/>
        </w:rPr>
      </w:pPr>
    </w:p>
    <w:p w14:paraId="59655441" w14:textId="42672495" w:rsidR="00616572" w:rsidRPr="006F4CDD" w:rsidRDefault="00616572" w:rsidP="000031F6">
      <w:pPr>
        <w:pStyle w:val="ListParagraph"/>
        <w:numPr>
          <w:ilvl w:val="0"/>
          <w:numId w:val="3"/>
        </w:numPr>
        <w:rPr>
          <w:rFonts w:ascii="Times New Roman" w:hAnsi="Times New Roman" w:cs="Times New Roman (Body CS)"/>
          <w:b/>
        </w:rPr>
      </w:pPr>
      <w:proofErr w:type="spellStart"/>
      <w:r w:rsidRPr="006F4CDD">
        <w:rPr>
          <w:rFonts w:ascii="Times New Roman" w:hAnsi="Times New Roman" w:cs="Times New Roman (Body CS)"/>
          <w:b/>
        </w:rPr>
        <w:t>Setiya’s</w:t>
      </w:r>
      <w:proofErr w:type="spellEnd"/>
      <w:r w:rsidRPr="006F4CDD">
        <w:rPr>
          <w:rFonts w:ascii="Times New Roman" w:hAnsi="Times New Roman" w:cs="Times New Roman (Body CS)"/>
          <w:b/>
        </w:rPr>
        <w:t xml:space="preserve"> argument for BBC, rebutted</w:t>
      </w:r>
    </w:p>
    <w:p w14:paraId="09F3316A" w14:textId="6F1C1754" w:rsidR="004F1623" w:rsidRDefault="004F1623" w:rsidP="004F1623">
      <w:pPr>
        <w:rPr>
          <w:rFonts w:ascii="Times New Roman" w:hAnsi="Times New Roman" w:cs="Times New Roman (Body CS)"/>
        </w:rPr>
      </w:pPr>
    </w:p>
    <w:p w14:paraId="23B7D6BF" w14:textId="23C73C69" w:rsidR="004F1623" w:rsidRDefault="004F1623" w:rsidP="004F1623">
      <w:pPr>
        <w:ind w:firstLine="720"/>
        <w:rPr>
          <w:rFonts w:ascii="Times New Roman" w:hAnsi="Times New Roman" w:cs="Times New Roman (Body CS)"/>
        </w:rPr>
      </w:pPr>
      <w:r>
        <w:rPr>
          <w:rFonts w:ascii="Times New Roman" w:hAnsi="Times New Roman" w:cs="Times New Roman (Body CS)"/>
        </w:rPr>
        <w:t xml:space="preserve">In the preceding section, I granted for the sake of argument that BBC is true, and then I showed that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doesn’t follow.  In the present section, I argue that </w:t>
      </w:r>
      <w:proofErr w:type="spellStart"/>
      <w:r>
        <w:rPr>
          <w:rFonts w:ascii="Times New Roman" w:hAnsi="Times New Roman" w:cs="Times New Roman (Body CS)"/>
        </w:rPr>
        <w:t>Setiya’s</w:t>
      </w:r>
      <w:proofErr w:type="spellEnd"/>
      <w:r>
        <w:rPr>
          <w:rFonts w:ascii="Times New Roman" w:hAnsi="Times New Roman" w:cs="Times New Roman (Body CS)"/>
        </w:rPr>
        <w:t xml:space="preserve"> argument for BBC fails:  even if we grant that the three </w:t>
      </w:r>
      <w:proofErr w:type="spellStart"/>
      <w:r>
        <w:rPr>
          <w:rFonts w:ascii="Times New Roman" w:hAnsi="Times New Roman" w:cs="Times New Roman (Body CS)"/>
        </w:rPr>
        <w:t>explananda</w:t>
      </w:r>
      <w:proofErr w:type="spellEnd"/>
      <w:r>
        <w:rPr>
          <w:rFonts w:ascii="Times New Roman" w:hAnsi="Times New Roman" w:cs="Times New Roman (Body CS)"/>
        </w:rPr>
        <w:t xml:space="preserve"> that BBC is supposed to explain are all true, BBC still is not the best explanation of them.  </w:t>
      </w:r>
    </w:p>
    <w:p w14:paraId="266AE58F" w14:textId="30A07F19" w:rsidR="000D2E94" w:rsidRDefault="000D2E94" w:rsidP="000D2E94">
      <w:pPr>
        <w:ind w:firstLine="720"/>
        <w:rPr>
          <w:rFonts w:ascii="Times New Roman" w:hAnsi="Times New Roman" w:cs="Times New Roman (Body CS)"/>
        </w:rPr>
      </w:pPr>
      <w:r>
        <w:rPr>
          <w:rFonts w:ascii="Times New Roman" w:hAnsi="Times New Roman" w:cs="Times New Roman (Body CS)"/>
        </w:rPr>
        <w:t xml:space="preserve">Let’s recall the </w:t>
      </w:r>
      <w:proofErr w:type="spellStart"/>
      <w:r>
        <w:rPr>
          <w:rFonts w:ascii="Times New Roman" w:hAnsi="Times New Roman" w:cs="Times New Roman (Body CS)"/>
        </w:rPr>
        <w:t>explananda</w:t>
      </w:r>
      <w:proofErr w:type="spellEnd"/>
      <w:r>
        <w:rPr>
          <w:rFonts w:ascii="Times New Roman" w:hAnsi="Times New Roman" w:cs="Times New Roman (Body CS)"/>
        </w:rPr>
        <w:t>:</w:t>
      </w:r>
    </w:p>
    <w:p w14:paraId="63D99526" w14:textId="59891546" w:rsidR="000D2E94" w:rsidRDefault="000D2E94" w:rsidP="000D2E94">
      <w:pPr>
        <w:pStyle w:val="ListParagraph"/>
        <w:numPr>
          <w:ilvl w:val="0"/>
          <w:numId w:val="5"/>
        </w:numPr>
        <w:rPr>
          <w:rFonts w:ascii="Times New Roman" w:hAnsi="Times New Roman" w:cs="Times New Roman (Body CS)"/>
        </w:rPr>
      </w:pPr>
      <w:r>
        <w:rPr>
          <w:rFonts w:ascii="Times New Roman" w:hAnsi="Times New Roman" w:cs="Times New Roman (Body CS)"/>
        </w:rPr>
        <w:t>Q can be a reason for which we believe that P e</w:t>
      </w:r>
      <w:r w:rsidR="001D4752">
        <w:rPr>
          <w:rFonts w:ascii="Times New Roman" w:hAnsi="Times New Roman" w:cs="Times New Roman (Body CS)"/>
        </w:rPr>
        <w:t xml:space="preserve">ven if our belief that P is not </w:t>
      </w:r>
      <w:r>
        <w:rPr>
          <w:rFonts w:ascii="Times New Roman" w:hAnsi="Times New Roman" w:cs="Times New Roman (Body CS)"/>
        </w:rPr>
        <w:t>counterfactually sensitive to Q.</w:t>
      </w:r>
    </w:p>
    <w:p w14:paraId="153A96DE" w14:textId="77777777" w:rsidR="000D2E94" w:rsidRDefault="000D2E94" w:rsidP="000D2E94">
      <w:pPr>
        <w:pStyle w:val="ListParagraph"/>
        <w:numPr>
          <w:ilvl w:val="0"/>
          <w:numId w:val="5"/>
        </w:numPr>
        <w:rPr>
          <w:rFonts w:ascii="Times New Roman" w:hAnsi="Times New Roman" w:cs="Times New Roman (Body CS)"/>
        </w:rPr>
      </w:pPr>
      <w:r>
        <w:rPr>
          <w:rFonts w:ascii="Times New Roman" w:hAnsi="Times New Roman" w:cs="Times New Roman (Body CS)"/>
        </w:rPr>
        <w:t>It is incoherent to assert something of the form ‘p and the fact that q is evidence that p, but I don’t believe that p even partly because I believe that q’.</w:t>
      </w:r>
    </w:p>
    <w:p w14:paraId="1838B9AD" w14:textId="7554D26D" w:rsidR="000D2E94" w:rsidRDefault="000D2E94" w:rsidP="000D2E94">
      <w:pPr>
        <w:pStyle w:val="ListParagraph"/>
        <w:numPr>
          <w:ilvl w:val="0"/>
          <w:numId w:val="5"/>
        </w:numPr>
        <w:rPr>
          <w:rFonts w:ascii="Times New Roman" w:hAnsi="Times New Roman" w:cs="Times New Roman (Body CS)"/>
        </w:rPr>
      </w:pPr>
      <w:r>
        <w:rPr>
          <w:rFonts w:ascii="Times New Roman" w:hAnsi="Times New Roman" w:cs="Times New Roman (Body CS)"/>
        </w:rPr>
        <w:t xml:space="preserve"> Our knowledge of our own reasons for belief is privileged in the same way that our knowledge of our own beliefs is privileged.</w:t>
      </w:r>
    </w:p>
    <w:p w14:paraId="3C393DF6" w14:textId="3DF5D80B" w:rsidR="006F4CDD" w:rsidRDefault="001D4752" w:rsidP="00695F21">
      <w:pPr>
        <w:rPr>
          <w:rFonts w:ascii="Times New Roman" w:hAnsi="Times New Roman" w:cs="Times New Roman (Body CS)"/>
        </w:rPr>
      </w:pPr>
      <w:r>
        <w:rPr>
          <w:rFonts w:ascii="Times New Roman" w:hAnsi="Times New Roman" w:cs="Times New Roman (Body CS)"/>
        </w:rPr>
        <w:t xml:space="preserve">Some philosophers would challenge one or more of these </w:t>
      </w:r>
      <w:proofErr w:type="spellStart"/>
      <w:r>
        <w:rPr>
          <w:rFonts w:ascii="Times New Roman" w:hAnsi="Times New Roman" w:cs="Times New Roman (Body CS)"/>
        </w:rPr>
        <w:t>explananda</w:t>
      </w:r>
      <w:proofErr w:type="spellEnd"/>
      <w:r>
        <w:rPr>
          <w:rFonts w:ascii="Times New Roman" w:hAnsi="Times New Roman" w:cs="Times New Roman (Body CS)"/>
        </w:rPr>
        <w:t>, but I won’t do so here – not because I take them to be obviously true</w:t>
      </w:r>
      <w:r w:rsidR="00695F21">
        <w:rPr>
          <w:rFonts w:ascii="Times New Roman" w:hAnsi="Times New Roman" w:cs="Times New Roman (Body CS)"/>
        </w:rPr>
        <w:t xml:space="preserve"> (indeed, I take (b)</w:t>
      </w:r>
      <w:r w:rsidR="00867C2E">
        <w:rPr>
          <w:rFonts w:ascii="Times New Roman" w:hAnsi="Times New Roman" w:cs="Times New Roman (Body CS)"/>
        </w:rPr>
        <w:t xml:space="preserve"> to be not quite true</w:t>
      </w:r>
      <w:r w:rsidR="00695F21">
        <w:rPr>
          <w:rFonts w:ascii="Times New Roman" w:hAnsi="Times New Roman" w:cs="Times New Roman (Body CS)"/>
        </w:rPr>
        <w:t>)</w:t>
      </w:r>
      <w:r>
        <w:rPr>
          <w:rFonts w:ascii="Times New Roman" w:hAnsi="Times New Roman" w:cs="Times New Roman (Body CS)"/>
        </w:rPr>
        <w:t xml:space="preserve">, but rather because their truth won’t matter for the challenge I issue here.  My challenge to </w:t>
      </w:r>
      <w:proofErr w:type="spellStart"/>
      <w:r>
        <w:rPr>
          <w:rFonts w:ascii="Times New Roman" w:hAnsi="Times New Roman" w:cs="Times New Roman (Body CS)"/>
        </w:rPr>
        <w:t>Setiya’s</w:t>
      </w:r>
      <w:proofErr w:type="spellEnd"/>
      <w:r>
        <w:rPr>
          <w:rFonts w:ascii="Times New Roman" w:hAnsi="Times New Roman" w:cs="Times New Roman (Body CS)"/>
        </w:rPr>
        <w:t xml:space="preserve"> argument for BBC is that, even if (a) – (c) were true, there is still a better explanation of them than BBC.  </w:t>
      </w:r>
    </w:p>
    <w:p w14:paraId="28C7FC1F" w14:textId="7FBFBE3D" w:rsidR="00695F21" w:rsidRDefault="001D4752" w:rsidP="006F4CDD">
      <w:pPr>
        <w:ind w:firstLine="720"/>
        <w:rPr>
          <w:rFonts w:ascii="Times New Roman" w:hAnsi="Times New Roman" w:cs="Times New Roman (Body CS)"/>
        </w:rPr>
      </w:pPr>
      <w:r>
        <w:rPr>
          <w:rFonts w:ascii="Times New Roman" w:hAnsi="Times New Roman" w:cs="Times New Roman (Body CS)"/>
        </w:rPr>
        <w:t xml:space="preserve">To see what this explanation could be, let’s </w:t>
      </w:r>
      <w:r w:rsidR="00695F21">
        <w:rPr>
          <w:rFonts w:ascii="Times New Roman" w:hAnsi="Times New Roman" w:cs="Times New Roman (Body CS)"/>
        </w:rPr>
        <w:t>start by noticing that (c) is an insufficiently general statement concerning our privileged access.  For if we have privileged access to our own reasons for belief, then we also have the same sort of privileged access to our own reasons for action.  My ability to say why I believe, e.g., that I was born in Holon is no different in kind than my ability to say why I decided not to return to</w:t>
      </w:r>
      <w:r w:rsidR="006F4CDD">
        <w:rPr>
          <w:rFonts w:ascii="Times New Roman" w:hAnsi="Times New Roman" w:cs="Times New Roman (Body CS)"/>
        </w:rPr>
        <w:t xml:space="preserve"> Israel.  Of course, I am not</w:t>
      </w:r>
      <w:r w:rsidR="00695F21">
        <w:rPr>
          <w:rFonts w:ascii="Times New Roman" w:hAnsi="Times New Roman" w:cs="Times New Roman (Body CS)"/>
        </w:rPr>
        <w:t xml:space="preserve"> infallible with respect to either question, but </w:t>
      </w:r>
      <w:r w:rsidR="006F4CDD">
        <w:rPr>
          <w:rFonts w:ascii="Times New Roman" w:hAnsi="Times New Roman" w:cs="Times New Roman (Body CS)"/>
        </w:rPr>
        <w:t xml:space="preserve">first-person </w:t>
      </w:r>
      <w:r w:rsidR="00695F21">
        <w:rPr>
          <w:rFonts w:ascii="Times New Roman" w:hAnsi="Times New Roman" w:cs="Times New Roman (Body CS)"/>
        </w:rPr>
        <w:t>privilege does not entail infallibility</w:t>
      </w:r>
      <w:r w:rsidR="006F4CDD">
        <w:rPr>
          <w:rFonts w:ascii="Times New Roman" w:hAnsi="Times New Roman" w:cs="Times New Roman (Body CS)"/>
        </w:rPr>
        <w:t xml:space="preserve">.  Whatever my first-person privilege consists in with respect to the question of what I believe and why I believe it, it consists in precisely the same thing with respect to the question of what I intend and why I intend it, or the question of what I am doing and why I am doing it.  And BBC doesn’t begin to explain my first-person privilege with respect to these questions about my intentions or my intentional actions.  </w:t>
      </w:r>
    </w:p>
    <w:p w14:paraId="27F9CDC0" w14:textId="64D4868A" w:rsidR="002B1216" w:rsidRDefault="006F4CDD" w:rsidP="006F4CDD">
      <w:pPr>
        <w:ind w:firstLine="720"/>
        <w:rPr>
          <w:rFonts w:ascii="Times New Roman" w:hAnsi="Times New Roman" w:cs="Times New Roman (Body CS)"/>
        </w:rPr>
      </w:pPr>
      <w:r>
        <w:rPr>
          <w:rFonts w:ascii="Times New Roman" w:hAnsi="Times New Roman" w:cs="Times New Roman (Body CS)"/>
        </w:rPr>
        <w:t>What could explain such first-person privi</w:t>
      </w:r>
      <w:r w:rsidR="00867C2E">
        <w:rPr>
          <w:rFonts w:ascii="Times New Roman" w:hAnsi="Times New Roman" w:cs="Times New Roman (Body CS)"/>
        </w:rPr>
        <w:t>lege is that all of the answers to a</w:t>
      </w:r>
      <w:r w:rsidR="002B1216">
        <w:rPr>
          <w:rFonts w:ascii="Times New Roman" w:hAnsi="Times New Roman" w:cs="Times New Roman (Body CS)"/>
        </w:rPr>
        <w:t xml:space="preserve">ll of these questions </w:t>
      </w:r>
      <w:r w:rsidR="002B1216" w:rsidRPr="002B1216">
        <w:rPr>
          <w:rFonts w:ascii="Times New Roman" w:hAnsi="Times New Roman" w:cs="Times New Roman (Body CS)"/>
          <w:i/>
        </w:rPr>
        <w:t>consist in</w:t>
      </w:r>
      <w:r w:rsidR="00867C2E">
        <w:rPr>
          <w:rFonts w:ascii="Times New Roman" w:hAnsi="Times New Roman" w:cs="Times New Roman (Body CS)"/>
        </w:rPr>
        <w:t xml:space="preserve"> representations that I have, and to which I have privileged access.  Not only do my beliefs and intentions consist</w:t>
      </w:r>
      <w:r w:rsidR="006976D0">
        <w:rPr>
          <w:rFonts w:ascii="Times New Roman" w:hAnsi="Times New Roman" w:cs="Times New Roman (Body CS)"/>
        </w:rPr>
        <w:t xml:space="preserve"> at least partly</w:t>
      </w:r>
      <w:r w:rsidR="00867C2E">
        <w:rPr>
          <w:rFonts w:ascii="Times New Roman" w:hAnsi="Times New Roman" w:cs="Times New Roman (Body CS)"/>
        </w:rPr>
        <w:t xml:space="preserve"> in such representations, but also my holding these belie</w:t>
      </w:r>
      <w:r w:rsidR="002B1216">
        <w:rPr>
          <w:rFonts w:ascii="Times New Roman" w:hAnsi="Times New Roman" w:cs="Times New Roman (Body CS)"/>
        </w:rPr>
        <w:t>fs or intentions for reasons</w:t>
      </w:r>
      <w:r w:rsidR="00867C2E">
        <w:rPr>
          <w:rFonts w:ascii="Times New Roman" w:hAnsi="Times New Roman" w:cs="Times New Roman (Body CS)"/>
        </w:rPr>
        <w:t xml:space="preserve"> consist</w:t>
      </w:r>
      <w:r w:rsidR="006976D0">
        <w:rPr>
          <w:rFonts w:ascii="Times New Roman" w:hAnsi="Times New Roman" w:cs="Times New Roman (Body CS)"/>
        </w:rPr>
        <w:t xml:space="preserve"> </w:t>
      </w:r>
      <w:r w:rsidR="00867C2E">
        <w:rPr>
          <w:rFonts w:ascii="Times New Roman" w:hAnsi="Times New Roman" w:cs="Times New Roman (Body CS)"/>
        </w:rPr>
        <w:t>in such representations</w:t>
      </w:r>
      <w:r w:rsidR="006976D0">
        <w:rPr>
          <w:rFonts w:ascii="Times New Roman" w:hAnsi="Times New Roman" w:cs="Times New Roman (Body CS)"/>
        </w:rPr>
        <w:t xml:space="preserve">, and even my performing </w:t>
      </w:r>
      <w:r w:rsidR="006976D0">
        <w:rPr>
          <w:rFonts w:ascii="Times New Roman" w:hAnsi="Times New Roman" w:cs="Times New Roman (Body CS)"/>
        </w:rPr>
        <w:lastRenderedPageBreak/>
        <w:t>certain inten</w:t>
      </w:r>
      <w:r w:rsidR="002B1216">
        <w:rPr>
          <w:rFonts w:ascii="Times New Roman" w:hAnsi="Times New Roman" w:cs="Times New Roman (Body CS)"/>
        </w:rPr>
        <w:t xml:space="preserve">tional actions for reasons </w:t>
      </w:r>
      <w:r w:rsidR="006976D0">
        <w:rPr>
          <w:rFonts w:ascii="Times New Roman" w:hAnsi="Times New Roman" w:cs="Times New Roman (Body CS)"/>
        </w:rPr>
        <w:t>consist in such representations</w:t>
      </w:r>
      <w:r w:rsidR="00867C2E">
        <w:rPr>
          <w:rFonts w:ascii="Times New Roman" w:hAnsi="Times New Roman" w:cs="Times New Roman (Body CS)"/>
        </w:rPr>
        <w:t xml:space="preserve">.  </w:t>
      </w:r>
      <w:r w:rsidR="002B1216">
        <w:rPr>
          <w:rFonts w:ascii="Times New Roman" w:hAnsi="Times New Roman" w:cs="Times New Roman (Body CS)"/>
        </w:rPr>
        <w:t xml:space="preserve">This may </w:t>
      </w:r>
      <w:r w:rsidR="00F40D79">
        <w:rPr>
          <w:rFonts w:ascii="Times New Roman" w:hAnsi="Times New Roman" w:cs="Times New Roman (Body CS)"/>
        </w:rPr>
        <w:t xml:space="preserve">at first </w:t>
      </w:r>
      <w:r w:rsidR="002B1216">
        <w:rPr>
          <w:rFonts w:ascii="Times New Roman" w:hAnsi="Times New Roman" w:cs="Times New Roman (Body CS)"/>
        </w:rPr>
        <w:t xml:space="preserve">seem like a </w:t>
      </w:r>
      <w:r w:rsidR="00F40D79">
        <w:rPr>
          <w:rFonts w:ascii="Times New Roman" w:hAnsi="Times New Roman" w:cs="Times New Roman (Body CS)"/>
        </w:rPr>
        <w:t>bizarre suggestion</w:t>
      </w:r>
      <w:r w:rsidR="002B1216">
        <w:rPr>
          <w:rFonts w:ascii="Times New Roman" w:hAnsi="Times New Roman" w:cs="Times New Roman (Body CS)"/>
        </w:rPr>
        <w:t xml:space="preserve">:  how could my performing certain intentional actions for certain reasons </w:t>
      </w:r>
      <w:r w:rsidR="002B1216" w:rsidRPr="002B1216">
        <w:rPr>
          <w:rFonts w:ascii="Times New Roman" w:hAnsi="Times New Roman" w:cs="Times New Roman (Body CS)"/>
          <w:i/>
        </w:rPr>
        <w:t>consist in</w:t>
      </w:r>
      <w:r w:rsidR="002B1216">
        <w:rPr>
          <w:rFonts w:ascii="Times New Roman" w:hAnsi="Times New Roman" w:cs="Times New Roman (Body CS)"/>
        </w:rPr>
        <w:t xml:space="preserve"> my representing something?  </w:t>
      </w:r>
      <w:r w:rsidR="006976D0">
        <w:rPr>
          <w:rFonts w:ascii="Times New Roman" w:hAnsi="Times New Roman" w:cs="Times New Roman (Body CS)"/>
        </w:rPr>
        <w:t>What k</w:t>
      </w:r>
      <w:r w:rsidR="002B1216">
        <w:rPr>
          <w:rFonts w:ascii="Times New Roman" w:hAnsi="Times New Roman" w:cs="Times New Roman (Body CS)"/>
        </w:rPr>
        <w:t>ind of representation could it</w:t>
      </w:r>
      <w:r w:rsidR="006976D0">
        <w:rPr>
          <w:rFonts w:ascii="Times New Roman" w:hAnsi="Times New Roman" w:cs="Times New Roman (Body CS)"/>
        </w:rPr>
        <w:t xml:space="preserve"> consist in?</w:t>
      </w:r>
      <w:r w:rsidR="00867C2E">
        <w:rPr>
          <w:rFonts w:ascii="Times New Roman" w:hAnsi="Times New Roman" w:cs="Times New Roman (Body CS)"/>
        </w:rPr>
        <w:t xml:space="preserve">  </w:t>
      </w:r>
    </w:p>
    <w:p w14:paraId="196B877C" w14:textId="42D18B42" w:rsidR="00B61C4F" w:rsidRDefault="00B61C4F" w:rsidP="006F4CDD">
      <w:pPr>
        <w:ind w:firstLine="720"/>
        <w:rPr>
          <w:rFonts w:ascii="Times New Roman" w:hAnsi="Times New Roman" w:cs="Times New Roman (Body CS)"/>
        </w:rPr>
      </w:pPr>
      <w:r>
        <w:rPr>
          <w:rFonts w:ascii="Times New Roman" w:hAnsi="Times New Roman" w:cs="Times New Roman (Body CS)"/>
        </w:rPr>
        <w:t xml:space="preserve">To see how the performance of an intentional action for a reason could consist in my representing something, let’s consider an example.  I’m looking at a blueprint of a house that has not yet been built, and I’m performing various intentional actions (e.g., putting bricks in various places) in order to create something depicted by the blueprint.  In such a case, I’m performing various intentional actions, but what unites all these various actions into a single process of building a house is that they are all done as part of my effort to implement the blueprint.  The blueprint is a representation of what I’m trying to create, and my various intentional actions add up to the act of building a house by virtue of the fact that they are all performed in an effort to make it the case that the representation is accurate.  The blueprint is thus what unifies my various actions into a single intentional action of building a house.  </w:t>
      </w:r>
    </w:p>
    <w:p w14:paraId="41465905" w14:textId="5E3CFFA7" w:rsidR="009A6171" w:rsidRDefault="00B61C4F" w:rsidP="00B61C4F">
      <w:pPr>
        <w:ind w:firstLine="720"/>
        <w:rPr>
          <w:rFonts w:ascii="Times New Roman" w:hAnsi="Times New Roman" w:cs="Times New Roman (Body CS)"/>
        </w:rPr>
      </w:pPr>
      <w:r>
        <w:rPr>
          <w:rFonts w:ascii="Times New Roman" w:hAnsi="Times New Roman" w:cs="Times New Roman (Body CS)"/>
        </w:rPr>
        <w:t>The example I</w:t>
      </w:r>
      <w:r w:rsidR="00291C84">
        <w:rPr>
          <w:rFonts w:ascii="Times New Roman" w:hAnsi="Times New Roman" w:cs="Times New Roman (Body CS)"/>
        </w:rPr>
        <w:t xml:space="preserve">’ve given is one </w:t>
      </w:r>
      <w:r>
        <w:rPr>
          <w:rFonts w:ascii="Times New Roman" w:hAnsi="Times New Roman" w:cs="Times New Roman (Body CS)"/>
        </w:rPr>
        <w:t>in which</w:t>
      </w:r>
      <w:r w:rsidR="00291C84">
        <w:rPr>
          <w:rFonts w:ascii="Times New Roman" w:hAnsi="Times New Roman" w:cs="Times New Roman (Body CS)"/>
        </w:rPr>
        <w:t xml:space="preserve"> an agential performance has the</w:t>
      </w:r>
      <w:r>
        <w:rPr>
          <w:rFonts w:ascii="Times New Roman" w:hAnsi="Times New Roman" w:cs="Times New Roman (Body CS)"/>
        </w:rPr>
        <w:t xml:space="preserve"> form </w:t>
      </w:r>
      <w:r w:rsidR="00291C84">
        <w:rPr>
          <w:rFonts w:ascii="Times New Roman" w:hAnsi="Times New Roman" w:cs="Times New Roman (Body CS)"/>
        </w:rPr>
        <w:t>(or the particular kind of unity) it has by virtue of that</w:t>
      </w:r>
      <w:r>
        <w:rPr>
          <w:rFonts w:ascii="Times New Roman" w:hAnsi="Times New Roman" w:cs="Times New Roman (Body CS)"/>
        </w:rPr>
        <w:t xml:space="preserve"> performance being guided by my representation of that very form.  But I propose that what goes for the agential performance in this case also goes for any agential performance done for any reason:  </w:t>
      </w:r>
      <w:r w:rsidR="00291C84">
        <w:rPr>
          <w:rFonts w:ascii="Times New Roman" w:hAnsi="Times New Roman" w:cs="Times New Roman (Body CS)"/>
        </w:rPr>
        <w:t>to think or do or feel anything for a reason is for the reason to guide one’s thinking or doing or feeling, and to guide it by virtue of the agent’s representing this guidance as justifying the thought or deed or feeling at issue</w:t>
      </w:r>
      <w:r w:rsidR="00867C2E">
        <w:rPr>
          <w:rFonts w:ascii="Times New Roman" w:hAnsi="Times New Roman" w:cs="Times New Roman (Body CS)"/>
        </w:rPr>
        <w:t xml:space="preserve">.  </w:t>
      </w:r>
    </w:p>
    <w:p w14:paraId="7FC5814D" w14:textId="710DEC8D" w:rsidR="006976D0" w:rsidRDefault="006976D0" w:rsidP="006F4CDD">
      <w:pPr>
        <w:ind w:firstLine="720"/>
        <w:rPr>
          <w:rFonts w:ascii="Times New Roman" w:hAnsi="Times New Roman" w:cs="Times New Roman (Body CS)"/>
        </w:rPr>
      </w:pPr>
      <w:r>
        <w:rPr>
          <w:rFonts w:ascii="Times New Roman" w:hAnsi="Times New Roman" w:cs="Times New Roman (Body CS)"/>
        </w:rPr>
        <w:t xml:space="preserve">This </w:t>
      </w:r>
      <w:r w:rsidR="002B1216">
        <w:rPr>
          <w:rFonts w:ascii="Times New Roman" w:hAnsi="Times New Roman" w:cs="Times New Roman (Body CS)"/>
        </w:rPr>
        <w:t xml:space="preserve">representation </w:t>
      </w:r>
      <w:r>
        <w:rPr>
          <w:rFonts w:ascii="Times New Roman" w:hAnsi="Times New Roman" w:cs="Times New Roman (Body CS)"/>
        </w:rPr>
        <w:t xml:space="preserve">is </w:t>
      </w:r>
      <w:r w:rsidR="00291C84">
        <w:rPr>
          <w:rFonts w:ascii="Times New Roman" w:hAnsi="Times New Roman" w:cs="Times New Roman (Body CS)"/>
        </w:rPr>
        <w:t xml:space="preserve">similar to, but also </w:t>
      </w:r>
      <w:r>
        <w:rPr>
          <w:rFonts w:ascii="Times New Roman" w:hAnsi="Times New Roman" w:cs="Times New Roman (Body CS)"/>
        </w:rPr>
        <w:t xml:space="preserve">different </w:t>
      </w:r>
      <w:r w:rsidR="002B1216">
        <w:rPr>
          <w:rFonts w:ascii="Times New Roman" w:hAnsi="Times New Roman" w:cs="Times New Roman (Body CS)"/>
        </w:rPr>
        <w:t xml:space="preserve">in several ways </w:t>
      </w:r>
      <w:r>
        <w:rPr>
          <w:rFonts w:ascii="Times New Roman" w:hAnsi="Times New Roman" w:cs="Times New Roman (Body CS)"/>
        </w:rPr>
        <w:t>from</w:t>
      </w:r>
      <w:r w:rsidR="00291C84">
        <w:rPr>
          <w:rFonts w:ascii="Times New Roman" w:hAnsi="Times New Roman" w:cs="Times New Roman (Body CS)"/>
        </w:rPr>
        <w:t>,</w:t>
      </w:r>
      <w:r>
        <w:rPr>
          <w:rFonts w:ascii="Times New Roman" w:hAnsi="Times New Roman" w:cs="Times New Roman (Body CS)"/>
        </w:rPr>
        <w:t xml:space="preserve"> the representation involved in what Boghossian calls the “taking condition” on inference.  The taking condition involves the agent representing a particular reason as a good reason for a particular kind of response, whether or not the agent issues that response</w:t>
      </w:r>
      <w:r w:rsidR="002B1216">
        <w:rPr>
          <w:rFonts w:ascii="Times New Roman" w:hAnsi="Times New Roman" w:cs="Times New Roman (Body CS)"/>
        </w:rPr>
        <w:t>, and whether or not she issues that response for that reason</w:t>
      </w:r>
      <w:r>
        <w:rPr>
          <w:rFonts w:ascii="Times New Roman" w:hAnsi="Times New Roman" w:cs="Times New Roman (Body CS)"/>
        </w:rPr>
        <w:t>.  But the kind of representation I’m describing here involv</w:t>
      </w:r>
      <w:r w:rsidR="002B1216">
        <w:rPr>
          <w:rFonts w:ascii="Times New Roman" w:hAnsi="Times New Roman" w:cs="Times New Roman (Body CS)"/>
        </w:rPr>
        <w:t xml:space="preserve">es a case of token-reflexive reference to a particular </w:t>
      </w:r>
      <w:r w:rsidR="00291C84">
        <w:rPr>
          <w:rFonts w:ascii="Times New Roman" w:hAnsi="Times New Roman" w:cs="Times New Roman (Body CS)"/>
        </w:rPr>
        <w:t>guidance</w:t>
      </w:r>
      <w:r w:rsidR="002B1216">
        <w:rPr>
          <w:rFonts w:ascii="Times New Roman" w:hAnsi="Times New Roman" w:cs="Times New Roman (Body CS)"/>
        </w:rPr>
        <w:t xml:space="preserve"> relation between R, on the one hand, and the agent’s response to R, on the other</w:t>
      </w:r>
      <w:r>
        <w:rPr>
          <w:rFonts w:ascii="Times New Roman" w:hAnsi="Times New Roman" w:cs="Times New Roman (Body CS)"/>
        </w:rPr>
        <w:t xml:space="preserve">, </w:t>
      </w:r>
      <w:r w:rsidR="002B1216">
        <w:rPr>
          <w:rFonts w:ascii="Times New Roman" w:hAnsi="Times New Roman" w:cs="Times New Roman (Body CS)"/>
        </w:rPr>
        <w:t xml:space="preserve">and it refers to that </w:t>
      </w:r>
      <w:r w:rsidR="00291C84">
        <w:rPr>
          <w:rFonts w:ascii="Times New Roman" w:hAnsi="Times New Roman" w:cs="Times New Roman (Body CS)"/>
        </w:rPr>
        <w:t>guidance</w:t>
      </w:r>
      <w:r w:rsidR="002B1216">
        <w:rPr>
          <w:rFonts w:ascii="Times New Roman" w:hAnsi="Times New Roman" w:cs="Times New Roman (Body CS)"/>
        </w:rPr>
        <w:t xml:space="preserve"> relation under the guise of </w:t>
      </w:r>
      <w:r w:rsidR="002B1216" w:rsidRPr="002B1216">
        <w:rPr>
          <w:rFonts w:ascii="Times New Roman" w:hAnsi="Times New Roman" w:cs="Times New Roman (Body CS)"/>
          <w:i/>
        </w:rPr>
        <w:t>justifying the agent’s response</w:t>
      </w:r>
      <w:r>
        <w:rPr>
          <w:rFonts w:ascii="Times New Roman" w:hAnsi="Times New Roman" w:cs="Times New Roman (Body CS)"/>
        </w:rPr>
        <w:t xml:space="preserve">.  </w:t>
      </w:r>
      <w:proofErr w:type="gramStart"/>
      <w:r>
        <w:rPr>
          <w:rFonts w:ascii="Times New Roman" w:hAnsi="Times New Roman" w:cs="Times New Roman (Body CS)"/>
        </w:rPr>
        <w:t>So</w:t>
      </w:r>
      <w:proofErr w:type="gramEnd"/>
      <w:r>
        <w:rPr>
          <w:rFonts w:ascii="Times New Roman" w:hAnsi="Times New Roman" w:cs="Times New Roman (Body CS)"/>
        </w:rPr>
        <w:t xml:space="preserve"> the kind of representation I’m describing here is a representation that an agent cannot have unless the </w:t>
      </w:r>
      <w:r w:rsidR="00291C84">
        <w:rPr>
          <w:rFonts w:ascii="Times New Roman" w:hAnsi="Times New Roman" w:cs="Times New Roman (Body CS)"/>
        </w:rPr>
        <w:t>guidance</w:t>
      </w:r>
      <w:r w:rsidR="005B566B">
        <w:rPr>
          <w:rFonts w:ascii="Times New Roman" w:hAnsi="Times New Roman" w:cs="Times New Roman (Body CS)"/>
        </w:rPr>
        <w:t xml:space="preserve"> relation</w:t>
      </w:r>
      <w:r>
        <w:rPr>
          <w:rFonts w:ascii="Times New Roman" w:hAnsi="Times New Roman" w:cs="Times New Roman (Body CS)"/>
        </w:rPr>
        <w:t xml:space="preserve"> to which the representation </w:t>
      </w:r>
      <w:r w:rsidR="002B1216">
        <w:rPr>
          <w:rFonts w:ascii="Times New Roman" w:hAnsi="Times New Roman" w:cs="Times New Roman (Body CS)"/>
        </w:rPr>
        <w:t>token-reflexively</w:t>
      </w:r>
      <w:r>
        <w:rPr>
          <w:rFonts w:ascii="Times New Roman" w:hAnsi="Times New Roman" w:cs="Times New Roman (Body CS)"/>
        </w:rPr>
        <w:t xml:space="preserve"> refers </w:t>
      </w:r>
      <w:r w:rsidR="002B1216">
        <w:rPr>
          <w:rFonts w:ascii="Times New Roman" w:hAnsi="Times New Roman" w:cs="Times New Roman (Body CS)"/>
        </w:rPr>
        <w:t xml:space="preserve">is actual.  Without the obtaining of </w:t>
      </w:r>
      <w:r w:rsidR="005B566B">
        <w:rPr>
          <w:rFonts w:ascii="Times New Roman" w:hAnsi="Times New Roman" w:cs="Times New Roman (Body CS)"/>
        </w:rPr>
        <w:t>that</w:t>
      </w:r>
      <w:r w:rsidR="002B1216">
        <w:rPr>
          <w:rFonts w:ascii="Times New Roman" w:hAnsi="Times New Roman" w:cs="Times New Roman (Body CS)"/>
        </w:rPr>
        <w:t xml:space="preserve"> </w:t>
      </w:r>
      <w:r w:rsidR="00291C84">
        <w:rPr>
          <w:rFonts w:ascii="Times New Roman" w:hAnsi="Times New Roman" w:cs="Times New Roman (Body CS)"/>
        </w:rPr>
        <w:t>guidance</w:t>
      </w:r>
      <w:r w:rsidR="002B1216">
        <w:rPr>
          <w:rFonts w:ascii="Times New Roman" w:hAnsi="Times New Roman" w:cs="Times New Roman (Body CS)"/>
        </w:rPr>
        <w:t xml:space="preserve"> relation between R and the agent’s response, the representation in question cannot so much as exist – never mind its accuracy.  Thus, a necessary condition of the agent’s having the relevant representation is that she has the reason R, she has the attitude or performs the action that is responsive to R, and these two things are explanatorily related in a way to which the agent can refer.  Only if all of these necessary conditions obtain can the agent form the representation that constitutes the agent’s believing or intending or doing something </w:t>
      </w:r>
      <w:r w:rsidR="002B1216" w:rsidRPr="002B1216">
        <w:rPr>
          <w:rFonts w:ascii="Times New Roman" w:hAnsi="Times New Roman" w:cs="Times New Roman (Body CS)"/>
          <w:i/>
        </w:rPr>
        <w:t>for the reason R</w:t>
      </w:r>
      <w:r w:rsidR="002B1216">
        <w:rPr>
          <w:rFonts w:ascii="Times New Roman" w:hAnsi="Times New Roman" w:cs="Times New Roman (Body CS)"/>
        </w:rPr>
        <w:t>.</w:t>
      </w:r>
    </w:p>
    <w:p w14:paraId="73DDCB3E" w14:textId="7ECD0DCE" w:rsidR="008C0D9B" w:rsidRDefault="00291C84" w:rsidP="006F4CDD">
      <w:pPr>
        <w:ind w:firstLine="720"/>
        <w:rPr>
          <w:rFonts w:ascii="Times New Roman" w:hAnsi="Times New Roman" w:cs="Times New Roman (Body CS)"/>
        </w:rPr>
      </w:pPr>
      <w:r>
        <w:rPr>
          <w:rFonts w:ascii="Times New Roman" w:hAnsi="Times New Roman" w:cs="Times New Roman (Body CS)"/>
        </w:rPr>
        <w:t>How</w:t>
      </w:r>
      <w:r w:rsidR="006976D0">
        <w:rPr>
          <w:rFonts w:ascii="Times New Roman" w:hAnsi="Times New Roman" w:cs="Times New Roman (Body CS)"/>
        </w:rPr>
        <w:t xml:space="preserve"> can an agent’s believing or intending or intentionally doing something for a reason R </w:t>
      </w:r>
      <w:r w:rsidR="006976D0" w:rsidRPr="006976D0">
        <w:rPr>
          <w:rFonts w:ascii="Times New Roman" w:hAnsi="Times New Roman" w:cs="Times New Roman (Body CS)"/>
          <w:i/>
        </w:rPr>
        <w:t>consist in</w:t>
      </w:r>
      <w:r w:rsidR="006976D0">
        <w:rPr>
          <w:rFonts w:ascii="Times New Roman" w:hAnsi="Times New Roman" w:cs="Times New Roman (Body CS)"/>
        </w:rPr>
        <w:t xml:space="preserve"> her having this representation?  </w:t>
      </w:r>
      <w:r>
        <w:rPr>
          <w:rFonts w:ascii="Times New Roman" w:hAnsi="Times New Roman" w:cs="Times New Roman (Body CS)"/>
        </w:rPr>
        <w:t xml:space="preserve">The blueprint example above is intended to provide an illustration of how this is possible, but perhaps another illustration will be helpful here.  Consider </w:t>
      </w:r>
      <w:r w:rsidR="008C0D9B">
        <w:rPr>
          <w:rFonts w:ascii="Times New Roman" w:hAnsi="Times New Roman" w:cs="Times New Roman (Body CS)"/>
        </w:rPr>
        <w:t xml:space="preserve">the various explanatory relations that can obtain between someone’s committing a crime and their conviction on the charge of committing that crime.  </w:t>
      </w:r>
      <w:proofErr w:type="gramStart"/>
      <w:r w:rsidR="008C0D9B">
        <w:rPr>
          <w:rFonts w:ascii="Times New Roman" w:hAnsi="Times New Roman" w:cs="Times New Roman (Body CS)"/>
        </w:rPr>
        <w:t>Of course</w:t>
      </w:r>
      <w:proofErr w:type="gramEnd"/>
      <w:r w:rsidR="008C0D9B">
        <w:rPr>
          <w:rFonts w:ascii="Times New Roman" w:hAnsi="Times New Roman" w:cs="Times New Roman (Body CS)"/>
        </w:rPr>
        <w:t xml:space="preserve"> there may be many different explanatory relations running between an agent’s committing a crime, on the one hand, and their conviction on the charge of committing that crime, on the other.  But a particular one of these explanatory relations is constituted by the fact that conviction itself is a conviction</w:t>
      </w:r>
      <w:r w:rsidR="002B1216">
        <w:rPr>
          <w:rFonts w:ascii="Times New Roman" w:hAnsi="Times New Roman" w:cs="Times New Roman (Body CS)"/>
          <w:i/>
        </w:rPr>
        <w:t xml:space="preserve"> for</w:t>
      </w:r>
      <w:r w:rsidR="008C0D9B" w:rsidRPr="008C0D9B">
        <w:rPr>
          <w:rFonts w:ascii="Times New Roman" w:hAnsi="Times New Roman" w:cs="Times New Roman (Body CS)"/>
          <w:i/>
        </w:rPr>
        <w:t xml:space="preserve"> committing that very crime</w:t>
      </w:r>
      <w:r w:rsidR="008C0D9B">
        <w:rPr>
          <w:rFonts w:ascii="Times New Roman" w:hAnsi="Times New Roman" w:cs="Times New Roman (Body CS)"/>
        </w:rPr>
        <w:t xml:space="preserve">.  The conviction represents itself as appropriately responsive to the agent’s commission of that crime, and by so representing itself, it unifies a sundry collection of processes, states, and events as together constituting the explanatory relation between the agent’s </w:t>
      </w:r>
      <w:r w:rsidR="008C0D9B">
        <w:rPr>
          <w:rFonts w:ascii="Times New Roman" w:hAnsi="Times New Roman" w:cs="Times New Roman (Body CS)"/>
        </w:rPr>
        <w:lastRenderedPageBreak/>
        <w:t xml:space="preserve">crime, on the one hand, and the conviction, on the other.  </w:t>
      </w:r>
      <w:r w:rsidR="002B1216">
        <w:rPr>
          <w:rFonts w:ascii="Times New Roman" w:hAnsi="Times New Roman" w:cs="Times New Roman (Body CS)"/>
        </w:rPr>
        <w:t>It is by virtue of the conviction’s so representing itself in this way that it counts as a conviction for committing that crime.</w:t>
      </w:r>
      <w:r w:rsidR="008C0D9B">
        <w:rPr>
          <w:rFonts w:ascii="Times New Roman" w:hAnsi="Times New Roman" w:cs="Times New Roman (Body CS)"/>
        </w:rPr>
        <w:t xml:space="preserve">  </w:t>
      </w:r>
      <w:r w:rsidR="002B1216">
        <w:rPr>
          <w:rFonts w:ascii="Times New Roman" w:hAnsi="Times New Roman" w:cs="Times New Roman (Body CS)"/>
        </w:rPr>
        <w:t xml:space="preserve">The representation unifies a bunch of processes, states, and events into a single explanatory relation – the relation in virtue of which the conviction is </w:t>
      </w:r>
      <w:r w:rsidR="002B1216" w:rsidRPr="002B1216">
        <w:rPr>
          <w:rFonts w:ascii="Times New Roman" w:hAnsi="Times New Roman" w:cs="Times New Roman (Body CS)"/>
          <w:i/>
        </w:rPr>
        <w:t>for that crime</w:t>
      </w:r>
      <w:r w:rsidR="002B1216">
        <w:rPr>
          <w:rFonts w:ascii="Times New Roman" w:hAnsi="Times New Roman" w:cs="Times New Roman (Body CS)"/>
        </w:rPr>
        <w:t>.</w:t>
      </w:r>
    </w:p>
    <w:p w14:paraId="79F22BC8" w14:textId="205C5751" w:rsidR="006F4CDD" w:rsidRDefault="008C0D9B" w:rsidP="006F4CDD">
      <w:pPr>
        <w:ind w:firstLine="720"/>
        <w:rPr>
          <w:rFonts w:ascii="Times New Roman" w:hAnsi="Times New Roman" w:cs="Times New Roman (Body CS)"/>
        </w:rPr>
      </w:pPr>
      <w:r>
        <w:rPr>
          <w:rFonts w:ascii="Times New Roman" w:hAnsi="Times New Roman" w:cs="Times New Roman (Body CS)"/>
        </w:rPr>
        <w:t xml:space="preserve">More generally, the </w:t>
      </w:r>
      <w:r w:rsidR="00291C84">
        <w:rPr>
          <w:rFonts w:ascii="Times New Roman" w:hAnsi="Times New Roman" w:cs="Times New Roman (Body CS)"/>
        </w:rPr>
        <w:t xml:space="preserve">guidance </w:t>
      </w:r>
      <w:r w:rsidR="006976D0">
        <w:rPr>
          <w:rFonts w:ascii="Times New Roman" w:hAnsi="Times New Roman" w:cs="Times New Roman (Body CS)"/>
        </w:rPr>
        <w:t>relation between R, on the one hand, and the agent’s response to R, on t</w:t>
      </w:r>
      <w:r w:rsidR="00291C84">
        <w:rPr>
          <w:rFonts w:ascii="Times New Roman" w:hAnsi="Times New Roman" w:cs="Times New Roman (Body CS)"/>
        </w:rPr>
        <w:t xml:space="preserve">he other, is an explanatory </w:t>
      </w:r>
      <w:r w:rsidR="006976D0">
        <w:rPr>
          <w:rFonts w:ascii="Times New Roman" w:hAnsi="Times New Roman" w:cs="Times New Roman (Body CS)"/>
        </w:rPr>
        <w:t xml:space="preserve">relation that </w:t>
      </w:r>
      <w:r w:rsidR="00A779DF">
        <w:rPr>
          <w:rFonts w:ascii="Times New Roman" w:hAnsi="Times New Roman" w:cs="Times New Roman (Body CS)"/>
        </w:rPr>
        <w:t xml:space="preserve">is </w:t>
      </w:r>
      <w:r w:rsidR="006976D0" w:rsidRPr="00AA7F88">
        <w:rPr>
          <w:rFonts w:ascii="Times New Roman" w:hAnsi="Times New Roman" w:cs="Times New Roman (Body CS)"/>
          <w:i/>
        </w:rPr>
        <w:t>individuated by</w:t>
      </w:r>
      <w:r w:rsidR="006976D0">
        <w:rPr>
          <w:rFonts w:ascii="Times New Roman" w:hAnsi="Times New Roman" w:cs="Times New Roman (Body CS)"/>
        </w:rPr>
        <w:t xml:space="preserve"> the agent’s representation of that relation – and in particular, it can be individuated by the agent’s representation of that relation as involving the agent’s appropriate responsiveness to R.  There may be lots of different explanatory relations running between R, on the one hand, and the agent’s response, on the other, but the explanatory relation that is</w:t>
      </w:r>
      <w:r w:rsidR="00AA7F88">
        <w:rPr>
          <w:rFonts w:ascii="Times New Roman" w:hAnsi="Times New Roman" w:cs="Times New Roman (Body CS)"/>
        </w:rPr>
        <w:t xml:space="preserve"> identical to</w:t>
      </w:r>
      <w:r w:rsidR="006976D0">
        <w:rPr>
          <w:rFonts w:ascii="Times New Roman" w:hAnsi="Times New Roman" w:cs="Times New Roman (Body CS)"/>
        </w:rPr>
        <w:t xml:space="preserve"> the agent’s basing her response on R – i.e., having that response for the reason that R – is the explanatory relation that is individuated by the agent’s </w:t>
      </w:r>
      <w:r w:rsidR="009A1D63">
        <w:rPr>
          <w:rFonts w:ascii="Times New Roman" w:hAnsi="Times New Roman" w:cs="Times New Roman (Body CS)"/>
        </w:rPr>
        <w:t xml:space="preserve">representing her response </w:t>
      </w:r>
      <w:r w:rsidR="009A1D63" w:rsidRPr="009A1D63">
        <w:rPr>
          <w:rFonts w:ascii="Times New Roman" w:hAnsi="Times New Roman" w:cs="Times New Roman (Body CS)"/>
          <w:i/>
        </w:rPr>
        <w:t>as</w:t>
      </w:r>
      <w:r w:rsidR="009A1D63">
        <w:rPr>
          <w:rFonts w:ascii="Times New Roman" w:hAnsi="Times New Roman" w:cs="Times New Roman (Body CS)"/>
        </w:rPr>
        <w:t xml:space="preserve"> an appropriate response to R.  Since the explanatory relation is individuated by that representation, the agent will have the same privileged access to the explanatory relation as she has to the representation that individuates it.</w:t>
      </w:r>
    </w:p>
    <w:p w14:paraId="3D2EB497" w14:textId="7E990B8F" w:rsidR="009A1D63" w:rsidRDefault="009A1D63" w:rsidP="006F4CDD">
      <w:pPr>
        <w:ind w:firstLine="720"/>
        <w:rPr>
          <w:rFonts w:ascii="Times New Roman" w:hAnsi="Times New Roman" w:cs="Times New Roman (Body CS)"/>
        </w:rPr>
      </w:pPr>
      <w:r>
        <w:rPr>
          <w:rFonts w:ascii="Times New Roman" w:hAnsi="Times New Roman" w:cs="Times New Roman (Body CS)"/>
        </w:rPr>
        <w:t xml:space="preserve">Now that we’ve proposed an explanation of (c) that generalizes to intentions and intentional actions, notice that this same explanation can also explain (a) and (b).  It can explain (a) because the explanatory relation between R and the agent’s response to R may overdetermine the agent’s response.  And explanatorily overdetermined phenomena are typically </w:t>
      </w:r>
      <w:r w:rsidR="005B566B">
        <w:rPr>
          <w:rFonts w:ascii="Times New Roman" w:hAnsi="Times New Roman" w:cs="Times New Roman (Body CS)"/>
        </w:rPr>
        <w:t xml:space="preserve">not </w:t>
      </w:r>
      <w:r>
        <w:rPr>
          <w:rFonts w:ascii="Times New Roman" w:hAnsi="Times New Roman" w:cs="Times New Roman (Body CS)"/>
        </w:rPr>
        <w:t>counterfactually sensitive to any particular one of their explainers:  the same point is true of intentions as well as belief.  And it can explain (b) because, when the agent asserts something of the form ‘p and the fact that q is evidence that p, but I don’t believe that p even partly because I believe that q’, the first two conjuncts of her assertion represent her own</w:t>
      </w:r>
      <w:r w:rsidR="00A779DF">
        <w:rPr>
          <w:rFonts w:ascii="Times New Roman" w:hAnsi="Times New Roman" w:cs="Times New Roman (Body CS)"/>
        </w:rPr>
        <w:t xml:space="preserve"> belief that p as appropriately</w:t>
      </w:r>
      <w:r>
        <w:rPr>
          <w:rFonts w:ascii="Times New Roman" w:hAnsi="Times New Roman" w:cs="Times New Roman (Body CS)"/>
        </w:rPr>
        <w:t xml:space="preserve"> respons</w:t>
      </w:r>
      <w:r w:rsidR="00A779DF">
        <w:rPr>
          <w:rFonts w:ascii="Times New Roman" w:hAnsi="Times New Roman" w:cs="Times New Roman (Body CS)"/>
        </w:rPr>
        <w:t>iv</w:t>
      </w:r>
      <w:r>
        <w:rPr>
          <w:rFonts w:ascii="Times New Roman" w:hAnsi="Times New Roman" w:cs="Times New Roman (Body CS)"/>
        </w:rPr>
        <w:t>e to her evidence q.  But her represent</w:t>
      </w:r>
      <w:r w:rsidR="00F40D79">
        <w:rPr>
          <w:rFonts w:ascii="Times New Roman" w:hAnsi="Times New Roman" w:cs="Times New Roman (Body CS)"/>
        </w:rPr>
        <w:t>ation of</w:t>
      </w:r>
      <w:r>
        <w:rPr>
          <w:rFonts w:ascii="Times New Roman" w:hAnsi="Times New Roman" w:cs="Times New Roman (Body CS)"/>
        </w:rPr>
        <w:t xml:space="preserve"> that belief as an appropriate response to her evid</w:t>
      </w:r>
      <w:r w:rsidR="00A779DF">
        <w:rPr>
          <w:rFonts w:ascii="Times New Roman" w:hAnsi="Times New Roman" w:cs="Times New Roman (Body CS)"/>
        </w:rPr>
        <w:t xml:space="preserve">ence can </w:t>
      </w:r>
      <w:r w:rsidR="00F40D79">
        <w:rPr>
          <w:rFonts w:ascii="Times New Roman" w:hAnsi="Times New Roman" w:cs="Times New Roman (Body CS)"/>
        </w:rPr>
        <w:t xml:space="preserve">unify an otherwise sundry collection of processes, states and events causally connecting her evidence q and her belief that </w:t>
      </w:r>
      <w:proofErr w:type="gramStart"/>
      <w:r w:rsidR="00F40D79">
        <w:rPr>
          <w:rFonts w:ascii="Times New Roman" w:hAnsi="Times New Roman" w:cs="Times New Roman (Body CS)"/>
        </w:rPr>
        <w:t>p, and</w:t>
      </w:r>
      <w:proofErr w:type="gramEnd"/>
      <w:r w:rsidR="00F40D79">
        <w:rPr>
          <w:rFonts w:ascii="Times New Roman" w:hAnsi="Times New Roman" w:cs="Times New Roman (Body CS)"/>
        </w:rPr>
        <w:t xml:space="preserve"> unify these various things under the category of </w:t>
      </w:r>
      <w:r>
        <w:rPr>
          <w:rFonts w:ascii="Times New Roman" w:hAnsi="Times New Roman" w:cs="Times New Roman (Body CS)"/>
        </w:rPr>
        <w:t xml:space="preserve">her having that </w:t>
      </w:r>
      <w:r w:rsidR="00A779DF">
        <w:rPr>
          <w:rFonts w:ascii="Times New Roman" w:hAnsi="Times New Roman" w:cs="Times New Roman (Body CS)"/>
        </w:rPr>
        <w:t>belief</w:t>
      </w:r>
      <w:r>
        <w:rPr>
          <w:rFonts w:ascii="Times New Roman" w:hAnsi="Times New Roman" w:cs="Times New Roman (Body CS)"/>
        </w:rPr>
        <w:t xml:space="preserve"> </w:t>
      </w:r>
      <w:r w:rsidRPr="009A1D63">
        <w:rPr>
          <w:rFonts w:ascii="Times New Roman" w:hAnsi="Times New Roman" w:cs="Times New Roman (Body CS)"/>
          <w:i/>
        </w:rPr>
        <w:t>on the basis of</w:t>
      </w:r>
      <w:r w:rsidRPr="009A1D63">
        <w:rPr>
          <w:rFonts w:ascii="Times New Roman" w:hAnsi="Times New Roman" w:cs="Times New Roman (Body CS)"/>
        </w:rPr>
        <w:t>, and so because of,</w:t>
      </w:r>
      <w:r>
        <w:rPr>
          <w:rFonts w:ascii="Times New Roman" w:hAnsi="Times New Roman" w:cs="Times New Roman (Body CS)"/>
        </w:rPr>
        <w:t xml:space="preserve"> q:  again, the same point is true of intentions as well as beliefs.</w:t>
      </w:r>
      <w:r w:rsidR="00F40D79">
        <w:rPr>
          <w:rFonts w:ascii="Times New Roman" w:hAnsi="Times New Roman" w:cs="Times New Roman (Body CS)"/>
        </w:rPr>
        <w:t xml:space="preserve">  Of course, her representation can unify these various things in this way only if these things exist, i.e., only if there actually are some processes, events, and states causally connecting her evidence q and her belief that p:  but she could assert the first two conjuncts in a single assertion only if there are at least some such processes, events, and states.  </w:t>
      </w:r>
    </w:p>
    <w:p w14:paraId="6E5A3636" w14:textId="7B3301AB" w:rsidR="0070012B" w:rsidRDefault="00F40D79" w:rsidP="00A779DF">
      <w:pPr>
        <w:ind w:firstLine="720"/>
        <w:rPr>
          <w:rFonts w:ascii="Times New Roman" w:hAnsi="Times New Roman" w:cs="Times New Roman (Body CS)"/>
        </w:rPr>
      </w:pPr>
      <w:r>
        <w:rPr>
          <w:rFonts w:ascii="Times New Roman" w:hAnsi="Times New Roman" w:cs="Times New Roman (Body CS)"/>
        </w:rPr>
        <w:t xml:space="preserve">Thus, the present explanation of the generalized version of (c) also explains (a) and (b), whereas BBC cannot even begin to explain the generalized version of (c).  </w:t>
      </w:r>
      <w:r w:rsidR="009A1D63">
        <w:rPr>
          <w:rFonts w:ascii="Times New Roman" w:hAnsi="Times New Roman" w:cs="Times New Roman (Body CS)"/>
        </w:rPr>
        <w:t>I take this to show that BBC is not the best explanation of (a) – (c):  a still better explanation is that the basin</w:t>
      </w:r>
      <w:r w:rsidR="0070012B">
        <w:rPr>
          <w:rFonts w:ascii="Times New Roman" w:hAnsi="Times New Roman" w:cs="Times New Roman (Body CS)"/>
        </w:rPr>
        <w:t xml:space="preserve">g relation always consists in the agent’s </w:t>
      </w:r>
      <w:r w:rsidR="00A779DF">
        <w:rPr>
          <w:rFonts w:ascii="Times New Roman" w:hAnsi="Times New Roman" w:cs="Times New Roman (Body CS)"/>
        </w:rPr>
        <w:t xml:space="preserve">token-reflexive </w:t>
      </w:r>
      <w:r w:rsidR="0070012B">
        <w:rPr>
          <w:rFonts w:ascii="Times New Roman" w:hAnsi="Times New Roman" w:cs="Times New Roman (Body CS)"/>
        </w:rPr>
        <w:t>representation of a particular response of hers as an appropriate response to some reason.</w:t>
      </w:r>
      <w:r w:rsidR="00A779DF">
        <w:rPr>
          <w:rStyle w:val="FootnoteReference"/>
          <w:rFonts w:ascii="Times New Roman" w:hAnsi="Times New Roman" w:cs="Times New Roman (Body CS)"/>
        </w:rPr>
        <w:footnoteReference w:id="9"/>
      </w:r>
      <w:r w:rsidR="00A779DF">
        <w:rPr>
          <w:rFonts w:ascii="Times New Roman" w:hAnsi="Times New Roman" w:cs="Times New Roman (Body CS)"/>
        </w:rPr>
        <w:t xml:space="preserve">  I conclude that, even if we grant </w:t>
      </w:r>
      <w:proofErr w:type="spellStart"/>
      <w:r w:rsidR="00A779DF">
        <w:rPr>
          <w:rFonts w:ascii="Times New Roman" w:hAnsi="Times New Roman" w:cs="Times New Roman (Body CS)"/>
        </w:rPr>
        <w:t>Setiya</w:t>
      </w:r>
      <w:proofErr w:type="spellEnd"/>
      <w:r w:rsidR="00A779DF">
        <w:rPr>
          <w:rFonts w:ascii="Times New Roman" w:hAnsi="Times New Roman" w:cs="Times New Roman (Body CS)"/>
        </w:rPr>
        <w:t xml:space="preserve"> that (a) – (c) are all true, his argument for BBC still fails.  </w:t>
      </w:r>
    </w:p>
    <w:p w14:paraId="79F5C117" w14:textId="3E40A3F8" w:rsidR="00A779DF" w:rsidRPr="000D2E94" w:rsidRDefault="00A779DF" w:rsidP="00A779DF">
      <w:pPr>
        <w:ind w:firstLine="720"/>
        <w:rPr>
          <w:rFonts w:ascii="Times New Roman" w:hAnsi="Times New Roman" w:cs="Times New Roman (Body CS)"/>
        </w:rPr>
      </w:pPr>
      <w:r>
        <w:rPr>
          <w:rFonts w:ascii="Times New Roman" w:hAnsi="Times New Roman" w:cs="Times New Roman (Body CS)"/>
        </w:rPr>
        <w:t xml:space="preserve">Nonetheless, putting aside the defects of </w:t>
      </w:r>
      <w:proofErr w:type="spellStart"/>
      <w:r>
        <w:rPr>
          <w:rFonts w:ascii="Times New Roman" w:hAnsi="Times New Roman" w:cs="Times New Roman (Body CS)"/>
        </w:rPr>
        <w:t>Setiya’s</w:t>
      </w:r>
      <w:proofErr w:type="spellEnd"/>
      <w:r>
        <w:rPr>
          <w:rFonts w:ascii="Times New Roman" w:hAnsi="Times New Roman" w:cs="Times New Roman (Body CS)"/>
        </w:rPr>
        <w:t xml:space="preserve"> argument for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there may nonetheless seem to be something plausible about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Part of the plausibility that </w:t>
      </w:r>
      <w:proofErr w:type="spellStart"/>
      <w:r>
        <w:rPr>
          <w:rFonts w:ascii="Times New Roman" w:hAnsi="Times New Roman" w:cs="Times New Roman (Body CS)"/>
        </w:rPr>
        <w:t>Setiya</w:t>
      </w:r>
      <w:proofErr w:type="spellEnd"/>
      <w:r>
        <w:rPr>
          <w:rFonts w:ascii="Times New Roman" w:hAnsi="Times New Roman" w:cs="Times New Roman (Body CS)"/>
        </w:rPr>
        <w:t xml:space="preserve"> lends to </w:t>
      </w:r>
      <w:proofErr w:type="spellStart"/>
      <w:r>
        <w:rPr>
          <w:rFonts w:ascii="Times New Roman" w:hAnsi="Times New Roman" w:cs="Times New Roman (Body CS)"/>
        </w:rPr>
        <w:t>Deflationism</w:t>
      </w:r>
      <w:proofErr w:type="spellEnd"/>
      <w:r>
        <w:rPr>
          <w:rFonts w:ascii="Times New Roman" w:hAnsi="Times New Roman" w:cs="Times New Roman (Body CS)"/>
        </w:rPr>
        <w:t xml:space="preserve"> comes from the fact that there is a metaphysical contrast between belief, on the one hand, and </w:t>
      </w:r>
      <w:r w:rsidR="00F40D79">
        <w:rPr>
          <w:rFonts w:ascii="Times New Roman" w:hAnsi="Times New Roman" w:cs="Times New Roman (Body CS)"/>
        </w:rPr>
        <w:t>certain kinds of intentional</w:t>
      </w:r>
      <w:r>
        <w:rPr>
          <w:rFonts w:ascii="Times New Roman" w:hAnsi="Times New Roman" w:cs="Times New Roman (Body CS)"/>
        </w:rPr>
        <w:t xml:space="preserve"> action, on the other.  </w:t>
      </w:r>
      <w:proofErr w:type="spellStart"/>
      <w:r>
        <w:rPr>
          <w:rFonts w:ascii="Times New Roman" w:hAnsi="Times New Roman" w:cs="Times New Roman (Body CS)"/>
        </w:rPr>
        <w:t>Setiya</w:t>
      </w:r>
      <w:proofErr w:type="spellEnd"/>
      <w:r>
        <w:rPr>
          <w:rFonts w:ascii="Times New Roman" w:hAnsi="Times New Roman" w:cs="Times New Roman (Body CS)"/>
        </w:rPr>
        <w:t xml:space="preserve"> tries to make out this contrast in terms of aspect.  In the next section, I say why the metaphysical distinction marked by aspect doesn’t do the work that </w:t>
      </w:r>
      <w:proofErr w:type="spellStart"/>
      <w:r>
        <w:rPr>
          <w:rFonts w:ascii="Times New Roman" w:hAnsi="Times New Roman" w:cs="Times New Roman (Body CS)"/>
        </w:rPr>
        <w:t>Setiya</w:t>
      </w:r>
      <w:proofErr w:type="spellEnd"/>
      <w:r>
        <w:rPr>
          <w:rFonts w:ascii="Times New Roman" w:hAnsi="Times New Roman" w:cs="Times New Roman (Body CS)"/>
        </w:rPr>
        <w:t xml:space="preserve"> takes it to do.</w:t>
      </w:r>
      <w:bookmarkStart w:id="0" w:name="_GoBack"/>
      <w:bookmarkEnd w:id="0"/>
    </w:p>
    <w:p w14:paraId="23F78AFD" w14:textId="16E178F5" w:rsidR="004F1623" w:rsidRDefault="004F1623" w:rsidP="004F1623">
      <w:pPr>
        <w:ind w:firstLine="720"/>
        <w:rPr>
          <w:rFonts w:ascii="Times New Roman" w:hAnsi="Times New Roman" w:cs="Times New Roman (Body CS)"/>
        </w:rPr>
      </w:pPr>
    </w:p>
    <w:p w14:paraId="62EA19A1" w14:textId="77777777" w:rsidR="007E3337" w:rsidRPr="004F1623" w:rsidRDefault="007E3337" w:rsidP="004F1623">
      <w:pPr>
        <w:ind w:firstLine="720"/>
        <w:rPr>
          <w:rFonts w:ascii="Times New Roman" w:hAnsi="Times New Roman" w:cs="Times New Roman (Body CS)"/>
        </w:rPr>
      </w:pPr>
    </w:p>
    <w:p w14:paraId="5E5C8209" w14:textId="714F1FBE" w:rsidR="007637C7" w:rsidRDefault="00A938E3" w:rsidP="000031F6">
      <w:pPr>
        <w:pStyle w:val="ListParagraph"/>
        <w:numPr>
          <w:ilvl w:val="0"/>
          <w:numId w:val="3"/>
        </w:numPr>
        <w:rPr>
          <w:rFonts w:ascii="Times New Roman" w:hAnsi="Times New Roman" w:cs="Times New Roman (Body CS)"/>
        </w:rPr>
      </w:pPr>
      <w:r>
        <w:rPr>
          <w:rFonts w:ascii="Times New Roman" w:hAnsi="Times New Roman" w:cs="Times New Roman (Body CS)"/>
          <w:b/>
        </w:rPr>
        <w:lastRenderedPageBreak/>
        <w:t>T</w:t>
      </w:r>
      <w:r w:rsidR="0054358B" w:rsidRPr="0070012B">
        <w:rPr>
          <w:rFonts w:ascii="Times New Roman" w:hAnsi="Times New Roman" w:cs="Times New Roman (Body CS)"/>
          <w:b/>
        </w:rPr>
        <w:t>he Metaphysics of Agency</w:t>
      </w:r>
    </w:p>
    <w:p w14:paraId="1862D41C" w14:textId="6E114577" w:rsidR="0070012B" w:rsidRDefault="0070012B" w:rsidP="0070012B">
      <w:pPr>
        <w:rPr>
          <w:rFonts w:ascii="Times New Roman" w:hAnsi="Times New Roman" w:cs="Times New Roman (Body CS)"/>
        </w:rPr>
      </w:pPr>
    </w:p>
    <w:p w14:paraId="27A2D92C" w14:textId="369962EA" w:rsidR="0070012B" w:rsidRDefault="00F40D79" w:rsidP="00F40D79">
      <w:pPr>
        <w:ind w:firstLine="720"/>
        <w:rPr>
          <w:rFonts w:ascii="Times New Roman" w:hAnsi="Times New Roman" w:cs="Times New Roman (Body CS)"/>
        </w:rPr>
      </w:pPr>
      <w:proofErr w:type="spellStart"/>
      <w:r>
        <w:rPr>
          <w:rFonts w:ascii="Times New Roman" w:hAnsi="Times New Roman" w:cs="Times New Roman (Body CS)"/>
        </w:rPr>
        <w:t>Setiya</w:t>
      </w:r>
      <w:proofErr w:type="spellEnd"/>
      <w:r>
        <w:rPr>
          <w:rFonts w:ascii="Times New Roman" w:hAnsi="Times New Roman" w:cs="Times New Roman (Body CS)"/>
        </w:rPr>
        <w:t xml:space="preserve"> distinguishes conditions as either static or dynamic.  Dynamic conditions are those expressed by verbs that admit of a distinction between progressive and perfective aspect, and static conditions are those expressed by verbs that do not admit of such a distinction.  The progressive aspect indicates that something is in progress but not yet complete, whereas the perfective aspect </w:t>
      </w:r>
      <w:r w:rsidR="005B566B">
        <w:rPr>
          <w:rFonts w:ascii="Times New Roman" w:hAnsi="Times New Roman" w:cs="Times New Roman (Body CS)"/>
        </w:rPr>
        <w:t xml:space="preserve">indicates </w:t>
      </w:r>
      <w:r>
        <w:rPr>
          <w:rFonts w:ascii="Times New Roman" w:hAnsi="Times New Roman" w:cs="Times New Roman (Body CS)"/>
        </w:rPr>
        <w:t>that it is complete:  thus, “he was walking” is progressive, whereas “he walked” is perfective.  The example just given shows that “walking” is a verb that expresses a dynamic condition.  In contrast, “</w:t>
      </w:r>
      <w:r w:rsidR="003F48A1">
        <w:rPr>
          <w:rFonts w:ascii="Times New Roman" w:hAnsi="Times New Roman" w:cs="Times New Roman (Body CS)"/>
        </w:rPr>
        <w:t>believes</w:t>
      </w:r>
      <w:r>
        <w:rPr>
          <w:rFonts w:ascii="Times New Roman" w:hAnsi="Times New Roman" w:cs="Times New Roman (Body CS)"/>
        </w:rPr>
        <w:t>” and “owns” are verbs that express static conditions, since there i</w:t>
      </w:r>
      <w:r w:rsidR="003F48A1">
        <w:rPr>
          <w:rFonts w:ascii="Times New Roman" w:hAnsi="Times New Roman" w:cs="Times New Roman (Body CS)"/>
        </w:rPr>
        <w:t>s no progressive form of either.</w:t>
      </w:r>
    </w:p>
    <w:p w14:paraId="7C2B3963" w14:textId="1ECD2502" w:rsidR="003F48A1" w:rsidRDefault="003F48A1" w:rsidP="00F40D79">
      <w:pPr>
        <w:ind w:firstLine="720"/>
        <w:rPr>
          <w:rFonts w:ascii="Times New Roman" w:hAnsi="Times New Roman" w:cs="Times New Roman (Body CS)"/>
        </w:rPr>
      </w:pPr>
      <w:r>
        <w:rPr>
          <w:rFonts w:ascii="Times New Roman" w:hAnsi="Times New Roman" w:cs="Times New Roman (Body CS)"/>
        </w:rPr>
        <w:t xml:space="preserve">In </w:t>
      </w:r>
      <w:proofErr w:type="spellStart"/>
      <w:r>
        <w:rPr>
          <w:rFonts w:ascii="Times New Roman" w:hAnsi="Times New Roman" w:cs="Times New Roman (Body CS)"/>
        </w:rPr>
        <w:t>Setiya’s</w:t>
      </w:r>
      <w:proofErr w:type="spellEnd"/>
      <w:r>
        <w:rPr>
          <w:rFonts w:ascii="Times New Roman" w:hAnsi="Times New Roman" w:cs="Times New Roman (Body CS)"/>
        </w:rPr>
        <w:t xml:space="preserve"> terminology then, believing is a static condition, while walking is a dynamic condition.  This is not controversial.  But what is controversial is the idea that </w:t>
      </w:r>
      <w:proofErr w:type="spellStart"/>
      <w:r>
        <w:rPr>
          <w:rFonts w:ascii="Times New Roman" w:hAnsi="Times New Roman" w:cs="Times New Roman (Body CS)"/>
        </w:rPr>
        <w:t>Setiya</w:t>
      </w:r>
      <w:proofErr w:type="spellEnd"/>
      <w:r>
        <w:rPr>
          <w:rFonts w:ascii="Times New Roman" w:hAnsi="Times New Roman" w:cs="Times New Roman (Body CS)"/>
        </w:rPr>
        <w:t xml:space="preserve"> finds to be suggested by means of these labels – the idea that dynamic and static conditions differ with respect to the kind of agency they involve.</w:t>
      </w:r>
      <w:r w:rsidR="00F6725D">
        <w:rPr>
          <w:rStyle w:val="FootnoteReference"/>
          <w:rFonts w:ascii="Times New Roman" w:hAnsi="Times New Roman" w:cs="Times New Roman (Body CS)"/>
        </w:rPr>
        <w:footnoteReference w:id="10"/>
      </w:r>
      <w:r>
        <w:rPr>
          <w:rFonts w:ascii="Times New Roman" w:hAnsi="Times New Roman" w:cs="Times New Roman (Body CS)"/>
        </w:rPr>
        <w:t xml:space="preserve">  We can begin to weaken the force of this suggestion if we notice that, by </w:t>
      </w:r>
      <w:proofErr w:type="spellStart"/>
      <w:r>
        <w:rPr>
          <w:rFonts w:ascii="Times New Roman" w:hAnsi="Times New Roman" w:cs="Times New Roman (Body CS)"/>
        </w:rPr>
        <w:t>Setiya’s</w:t>
      </w:r>
      <w:proofErr w:type="spellEnd"/>
      <w:r>
        <w:rPr>
          <w:rFonts w:ascii="Times New Roman" w:hAnsi="Times New Roman" w:cs="Times New Roman (Body CS)"/>
        </w:rPr>
        <w:t xml:space="preserve"> own definition, intending, desiring and resenting </w:t>
      </w:r>
      <w:r w:rsidR="005F730B">
        <w:rPr>
          <w:rFonts w:ascii="Times New Roman" w:hAnsi="Times New Roman" w:cs="Times New Roman (Body CS)"/>
        </w:rPr>
        <w:t xml:space="preserve">(all conditions involved in motivating our exercises of practical agency) are </w:t>
      </w:r>
      <w:r>
        <w:rPr>
          <w:rFonts w:ascii="Times New Roman" w:hAnsi="Times New Roman" w:cs="Times New Roman (Body CS)"/>
        </w:rPr>
        <w:t xml:space="preserve">every bit as static as believing, while tripping, aging, and </w:t>
      </w:r>
      <w:r w:rsidR="005F730B">
        <w:rPr>
          <w:rFonts w:ascii="Times New Roman" w:hAnsi="Times New Roman" w:cs="Times New Roman (Body CS)"/>
        </w:rPr>
        <w:t>dying (all conditions that can befall us as organisms, and not in our capacity as practical agents) are every bit as dynamic as walking.  The distinction between static and dynamic conditions s</w:t>
      </w:r>
      <w:r w:rsidR="005B566B">
        <w:rPr>
          <w:rFonts w:ascii="Times New Roman" w:hAnsi="Times New Roman" w:cs="Times New Roman (Body CS)"/>
        </w:rPr>
        <w:t>eems to crosscut the distinction</w:t>
      </w:r>
      <w:r w:rsidR="005F730B">
        <w:rPr>
          <w:rFonts w:ascii="Times New Roman" w:hAnsi="Times New Roman" w:cs="Times New Roman (Body CS)"/>
        </w:rPr>
        <w:t xml:space="preserve"> between those conditions involved in our practical agency, and those conditions not so involved.</w:t>
      </w:r>
    </w:p>
    <w:p w14:paraId="6DF09AE4" w14:textId="4A10D16E" w:rsidR="005F730B" w:rsidRDefault="005F730B" w:rsidP="00F40D79">
      <w:pPr>
        <w:ind w:firstLine="720"/>
        <w:rPr>
          <w:rFonts w:ascii="Times New Roman" w:hAnsi="Times New Roman" w:cs="Times New Roman (Body CS)"/>
        </w:rPr>
      </w:pPr>
      <w:r>
        <w:rPr>
          <w:rFonts w:ascii="Times New Roman" w:hAnsi="Times New Roman" w:cs="Times New Roman (Body CS)"/>
        </w:rPr>
        <w:t xml:space="preserve">In that case, how should we understand the distinction between the conditions that are involved in our practical agency and conditions that are not so involved?  To answer this question, I need to make two preliminary distinctions.  First, there is what I will call the distinction between disposition-exercises and other properties.  Some properties of an object, e.g., its height or location, are not exercises of any disposition the thing has, whereas other properties, e.g., its dissolving in water on a particular occasion, or its moving towards the magnet on a particular occasion, are.  Now, within the category of disposition-exercises, we can distinguish a subcategory of capacity-exercises:  there are exercises of a special kind of disposition, a disposition to achieve some aim or objective.  A metallic object may exercise its disposition to move towards a magnet on a particular occasion, but it doesn’t do so in order to achieve any aim or objective.  But an object exercises a capacity only when it exercises a </w:t>
      </w:r>
      <w:r w:rsidRPr="00F6725D">
        <w:rPr>
          <w:rFonts w:ascii="Times New Roman" w:hAnsi="Times New Roman" w:cs="Times New Roman (Body CS)"/>
        </w:rPr>
        <w:t>disposition</w:t>
      </w:r>
      <w:r w:rsidRPr="005F730B">
        <w:rPr>
          <w:rFonts w:ascii="Times New Roman" w:hAnsi="Times New Roman" w:cs="Times New Roman (Body CS)"/>
          <w:i/>
        </w:rPr>
        <w:t xml:space="preserve"> to achieve some aim, or objective</w:t>
      </w:r>
      <w:r>
        <w:rPr>
          <w:rFonts w:ascii="Times New Roman" w:hAnsi="Times New Roman" w:cs="Times New Roman (Body CS)"/>
        </w:rPr>
        <w:t>.  And, of course, an object may</w:t>
      </w:r>
      <w:r w:rsidR="00F6725D">
        <w:rPr>
          <w:rFonts w:ascii="Times New Roman" w:hAnsi="Times New Roman" w:cs="Times New Roman (Body CS)"/>
        </w:rPr>
        <w:t>, on some occasion,</w:t>
      </w:r>
      <w:r>
        <w:rPr>
          <w:rFonts w:ascii="Times New Roman" w:hAnsi="Times New Roman" w:cs="Times New Roman (Body CS)"/>
        </w:rPr>
        <w:t xml:space="preserve"> exercise a capacity</w:t>
      </w:r>
      <w:r w:rsidR="00F6725D">
        <w:rPr>
          <w:rFonts w:ascii="Times New Roman" w:hAnsi="Times New Roman" w:cs="Times New Roman (Body CS)"/>
        </w:rPr>
        <w:t xml:space="preserve"> to achieve some aim, even if</w:t>
      </w:r>
      <w:r>
        <w:rPr>
          <w:rFonts w:ascii="Times New Roman" w:hAnsi="Times New Roman" w:cs="Times New Roman (Body CS)"/>
        </w:rPr>
        <w:t xml:space="preserve"> it fails to achieve </w:t>
      </w:r>
      <w:r w:rsidR="00F6725D">
        <w:rPr>
          <w:rFonts w:ascii="Times New Roman" w:hAnsi="Times New Roman" w:cs="Times New Roman (Body CS)"/>
        </w:rPr>
        <w:t>that aim</w:t>
      </w:r>
      <w:r>
        <w:rPr>
          <w:rFonts w:ascii="Times New Roman" w:hAnsi="Times New Roman" w:cs="Times New Roman (Body CS)"/>
        </w:rPr>
        <w:t>.  Indeed, our explanatory appeal to capacities is useful precisely because it helps us to understand what’s in common to capacity-exercises that are successful</w:t>
      </w:r>
      <w:r w:rsidR="00F6725D">
        <w:rPr>
          <w:rFonts w:ascii="Times New Roman" w:hAnsi="Times New Roman" w:cs="Times New Roman (Body CS)"/>
        </w:rPr>
        <w:t xml:space="preserve"> in achieving their aim</w:t>
      </w:r>
      <w:r>
        <w:rPr>
          <w:rFonts w:ascii="Times New Roman" w:hAnsi="Times New Roman" w:cs="Times New Roman (Body CS)"/>
        </w:rPr>
        <w:t xml:space="preserve"> and capacity-exercises that are unsuccessful</w:t>
      </w:r>
      <w:r w:rsidR="00F6725D">
        <w:rPr>
          <w:rFonts w:ascii="Times New Roman" w:hAnsi="Times New Roman" w:cs="Times New Roman (Body CS)"/>
        </w:rPr>
        <w:t xml:space="preserve"> in achieving their aim</w:t>
      </w:r>
      <w:r>
        <w:rPr>
          <w:rFonts w:ascii="Times New Roman" w:hAnsi="Times New Roman" w:cs="Times New Roman (Body CS)"/>
        </w:rPr>
        <w:t xml:space="preserve">.  </w:t>
      </w:r>
    </w:p>
    <w:p w14:paraId="132F9C08" w14:textId="700B5C8C" w:rsidR="00A938E3" w:rsidRDefault="00A938E3" w:rsidP="00A938E3">
      <w:pPr>
        <w:ind w:firstLine="720"/>
        <w:rPr>
          <w:rFonts w:ascii="Times New Roman" w:hAnsi="Times New Roman" w:cs="Times New Roman (Body CS)"/>
        </w:rPr>
      </w:pPr>
      <w:r>
        <w:rPr>
          <w:rFonts w:ascii="Times New Roman" w:hAnsi="Times New Roman" w:cs="Times New Roman (Body CS)"/>
        </w:rPr>
        <w:t xml:space="preserve">Agency, most broadly conceived, consists in the exercises of a creature’s capacities.  On this broad conception, even plants and microorganisms have a kind of agency – we may call it “nutritive” agency, since their capacities have </w:t>
      </w:r>
      <w:r w:rsidR="005B566B">
        <w:rPr>
          <w:rFonts w:ascii="Times New Roman" w:hAnsi="Times New Roman" w:cs="Times New Roman (Body CS)"/>
        </w:rPr>
        <w:t>the aim of nourishing the possessor of the exercised capacity</w:t>
      </w:r>
      <w:r>
        <w:rPr>
          <w:rFonts w:ascii="Times New Roman" w:hAnsi="Times New Roman" w:cs="Times New Roman (Body CS)"/>
        </w:rPr>
        <w:t xml:space="preserve">.  Animals have a more specific kind of agency – we may call it “appetitive” agency, since their capacities have the aim of getting the animal to move around in order to satisfy its </w:t>
      </w:r>
      <w:proofErr w:type="spellStart"/>
      <w:r>
        <w:rPr>
          <w:rFonts w:ascii="Times New Roman" w:hAnsi="Times New Roman" w:cs="Times New Roman (Body CS)"/>
        </w:rPr>
        <w:t>appetities</w:t>
      </w:r>
      <w:proofErr w:type="spellEnd"/>
      <w:r>
        <w:rPr>
          <w:rFonts w:ascii="Times New Roman" w:hAnsi="Times New Roman" w:cs="Times New Roman (Body CS)"/>
        </w:rPr>
        <w:t xml:space="preserve">.  And humans have a still more specific kind of agency – we may call it “rational” agency, since their capacities have the aim of enabling the human to form a coherent picture of itself and its relation to the </w:t>
      </w:r>
      <w:proofErr w:type="gramStart"/>
      <w:r>
        <w:rPr>
          <w:rFonts w:ascii="Times New Roman" w:hAnsi="Times New Roman" w:cs="Times New Roman (Body CS)"/>
        </w:rPr>
        <w:t>world, and</w:t>
      </w:r>
      <w:proofErr w:type="gramEnd"/>
      <w:r>
        <w:rPr>
          <w:rFonts w:ascii="Times New Roman" w:hAnsi="Times New Roman" w:cs="Times New Roman (Body CS)"/>
        </w:rPr>
        <w:t xml:space="preserve"> </w:t>
      </w:r>
      <w:r w:rsidR="007E3337">
        <w:rPr>
          <w:rFonts w:ascii="Times New Roman" w:hAnsi="Times New Roman" w:cs="Times New Roman (Body CS)"/>
        </w:rPr>
        <w:t xml:space="preserve">strive to </w:t>
      </w:r>
      <w:r>
        <w:rPr>
          <w:rFonts w:ascii="Times New Roman" w:hAnsi="Times New Roman" w:cs="Times New Roman (Body CS)"/>
        </w:rPr>
        <w:t>live in accordance with that picture.</w:t>
      </w:r>
    </w:p>
    <w:p w14:paraId="47559039" w14:textId="77777777" w:rsidR="00F40D79" w:rsidRDefault="00F40D79" w:rsidP="0070012B">
      <w:pPr>
        <w:ind w:left="720"/>
        <w:rPr>
          <w:rFonts w:ascii="Times New Roman" w:hAnsi="Times New Roman" w:cs="Times New Roman (Body CS)"/>
        </w:rPr>
      </w:pPr>
    </w:p>
    <w:p w14:paraId="3B50CD8A" w14:textId="77777777" w:rsidR="00AA7F88" w:rsidRPr="0070012B" w:rsidRDefault="00AA7F88" w:rsidP="0070012B">
      <w:pPr>
        <w:ind w:left="720"/>
        <w:rPr>
          <w:rFonts w:ascii="Times New Roman" w:hAnsi="Times New Roman" w:cs="Times New Roman (Body CS)"/>
        </w:rPr>
      </w:pPr>
    </w:p>
    <w:p w14:paraId="77DF9A0F" w14:textId="3DB3A6E8" w:rsidR="006C3058" w:rsidRPr="007E3337" w:rsidRDefault="0054358B" w:rsidP="007E3337">
      <w:pPr>
        <w:pStyle w:val="ListParagraph"/>
        <w:numPr>
          <w:ilvl w:val="0"/>
          <w:numId w:val="3"/>
        </w:numPr>
        <w:rPr>
          <w:rFonts w:ascii="Times New Roman" w:hAnsi="Times New Roman" w:cs="Times New Roman (Body CS)"/>
          <w:b/>
        </w:rPr>
      </w:pPr>
      <w:r w:rsidRPr="007E3337">
        <w:rPr>
          <w:rFonts w:ascii="Times New Roman" w:hAnsi="Times New Roman" w:cs="Times New Roman (Body CS)"/>
          <w:b/>
        </w:rPr>
        <w:t>Conclusion:  Agency as the Exercise of a</w:t>
      </w:r>
      <w:r w:rsidR="007E3337">
        <w:rPr>
          <w:rFonts w:ascii="Times New Roman" w:hAnsi="Times New Roman" w:cs="Times New Roman (Body CS)"/>
          <w:b/>
        </w:rPr>
        <w:t>n Organism’s</w:t>
      </w:r>
      <w:r w:rsidRPr="007E3337">
        <w:rPr>
          <w:rFonts w:ascii="Times New Roman" w:hAnsi="Times New Roman" w:cs="Times New Roman (Body CS)"/>
          <w:b/>
        </w:rPr>
        <w:t xml:space="preserve"> Capacity </w:t>
      </w:r>
      <w:r w:rsidR="007E3337">
        <w:rPr>
          <w:rFonts w:ascii="Times New Roman" w:hAnsi="Times New Roman" w:cs="Times New Roman (Body CS)"/>
          <w:b/>
        </w:rPr>
        <w:t>to Achieve its</w:t>
      </w:r>
      <w:r w:rsidR="007E3337" w:rsidRPr="007E3337">
        <w:rPr>
          <w:rFonts w:ascii="Times New Roman" w:hAnsi="Times New Roman" w:cs="Times New Roman (Body CS)"/>
          <w:b/>
        </w:rPr>
        <w:t xml:space="preserve"> Objective</w:t>
      </w:r>
    </w:p>
    <w:p w14:paraId="6B576C8D" w14:textId="77777777" w:rsidR="007E3337" w:rsidRDefault="007E3337" w:rsidP="007E3337">
      <w:pPr>
        <w:rPr>
          <w:rFonts w:ascii="Times New Roman" w:eastAsiaTheme="minorEastAsia" w:hAnsi="Times New Roman" w:cs="Times New Roman (Body CS)"/>
        </w:rPr>
      </w:pPr>
    </w:p>
    <w:p w14:paraId="492F6950" w14:textId="691465D3" w:rsidR="00616572" w:rsidRDefault="007E3337" w:rsidP="007E3337">
      <w:pPr>
        <w:ind w:firstLine="720"/>
        <w:rPr>
          <w:rFonts w:ascii="Times New Roman" w:eastAsiaTheme="minorEastAsia" w:hAnsi="Times New Roman" w:cs="Times New Roman (Body CS)"/>
        </w:rPr>
      </w:pPr>
      <w:r>
        <w:rPr>
          <w:rFonts w:ascii="Times New Roman" w:eastAsiaTheme="minorEastAsia" w:hAnsi="Times New Roman" w:cs="Times New Roman (Body CS)"/>
        </w:rPr>
        <w:t>Belief is a state, not an act.  But agency, at least as it’s been most commonly understood, consists in the exercise of certain sorts of capacities, and not all exercises of those capacities are acts.  Indeed, many of them – including not just our beliefs, but also our intentions, our reactive attitudes, our skills, and our evaluations – are states.  What distinguishes those states from the many other states we can occupy independently of our agency is that the former are simply the exercises of agentive capacities whereas the latter are not.  The metaphysical distinction between states and acts does not mark a distinction between two kinds of agency.</w:t>
      </w:r>
      <w:r w:rsidR="00616572">
        <w:rPr>
          <w:rFonts w:ascii="Times New Roman" w:eastAsiaTheme="minorEastAsia" w:hAnsi="Times New Roman" w:cs="Times New Roman (Body CS)"/>
        </w:rPr>
        <w:br w:type="page"/>
      </w:r>
    </w:p>
    <w:p w14:paraId="5ACA5C8D" w14:textId="77777777" w:rsidR="006C3058" w:rsidRDefault="006C3058">
      <w:pPr>
        <w:rPr>
          <w:rFonts w:ascii="Times New Roman" w:eastAsiaTheme="minorEastAsia" w:hAnsi="Times New Roman" w:cs="Times New Roman (Body CS)"/>
        </w:rPr>
      </w:pPr>
    </w:p>
    <w:p w14:paraId="6BD81E42" w14:textId="58261CE5" w:rsidR="007637C7" w:rsidRPr="006C3058" w:rsidRDefault="006C3058" w:rsidP="006C3058">
      <w:pPr>
        <w:jc w:val="center"/>
        <w:rPr>
          <w:rFonts w:ascii="Times New Roman" w:hAnsi="Times New Roman" w:cs="Times New Roman (Body CS)"/>
        </w:rPr>
      </w:pPr>
      <w:r w:rsidRPr="006C3058">
        <w:rPr>
          <w:rFonts w:ascii="Times New Roman" w:hAnsi="Times New Roman" w:cs="Times New Roman (Body CS)"/>
          <w:b/>
        </w:rPr>
        <w:t>Works Cited</w:t>
      </w:r>
    </w:p>
    <w:p w14:paraId="513740FC" w14:textId="4FC4D811" w:rsidR="006C3058" w:rsidRDefault="006C3058" w:rsidP="006C3058">
      <w:pPr>
        <w:jc w:val="center"/>
        <w:rPr>
          <w:rFonts w:ascii="Times New Roman" w:hAnsi="Times New Roman" w:cs="Times New Roman (Body CS)"/>
          <w:b/>
        </w:rPr>
      </w:pPr>
    </w:p>
    <w:p w14:paraId="3CF31314" w14:textId="77777777" w:rsidR="006C3058" w:rsidRDefault="006C3058" w:rsidP="006C3058">
      <w:pPr>
        <w:pStyle w:val="NormalWeb"/>
        <w:rPr>
          <w:rFonts w:ascii="TimesNewRomanSF" w:hAnsi="TimesNewRomanSF"/>
          <w:sz w:val="16"/>
          <w:szCs w:val="16"/>
        </w:rPr>
      </w:pPr>
      <w:r>
        <w:rPr>
          <w:rFonts w:ascii="TimesNewRomanSF" w:hAnsi="TimesNewRomanSF"/>
          <w:sz w:val="16"/>
          <w:szCs w:val="16"/>
        </w:rPr>
        <w:t xml:space="preserve">Boghossian, P. 2009. Epistemic Rules. </w:t>
      </w:r>
      <w:r>
        <w:rPr>
          <w:rFonts w:ascii="TimesNewRomanSF" w:hAnsi="TimesNewRomanSF"/>
          <w:i/>
          <w:iCs/>
          <w:sz w:val="16"/>
          <w:szCs w:val="16"/>
        </w:rPr>
        <w:t xml:space="preserve">Journal of Philosophy </w:t>
      </w:r>
      <w:r w:rsidRPr="00DA4101">
        <w:rPr>
          <w:rFonts w:ascii="TimesNewRomanSF" w:hAnsi="TimesNewRomanSF"/>
          <w:b/>
          <w:sz w:val="16"/>
          <w:szCs w:val="16"/>
        </w:rPr>
        <w:t>105</w:t>
      </w:r>
      <w:r>
        <w:rPr>
          <w:rFonts w:ascii="TimesNewRomanSF" w:hAnsi="TimesNewRomanSF"/>
          <w:sz w:val="16"/>
          <w:szCs w:val="16"/>
        </w:rPr>
        <w:t>: 472–500.</w:t>
      </w:r>
    </w:p>
    <w:p w14:paraId="5F758909" w14:textId="0A2F8841" w:rsidR="006C3058" w:rsidRDefault="006C3058" w:rsidP="006C3058">
      <w:pPr>
        <w:pStyle w:val="NormalWeb"/>
        <w:rPr>
          <w:rFonts w:ascii="TimesNewRomanSF" w:hAnsi="TimesNewRomanSF"/>
          <w:sz w:val="16"/>
          <w:szCs w:val="16"/>
        </w:rPr>
      </w:pPr>
      <w:r>
        <w:rPr>
          <w:rFonts w:ascii="TimesNewRomanSF" w:hAnsi="TimesNewRomanSF"/>
          <w:sz w:val="16"/>
          <w:szCs w:val="16"/>
        </w:rPr>
        <w:t xml:space="preserve">Boghossian, P. 2013. What is Inference? </w:t>
      </w:r>
      <w:r>
        <w:rPr>
          <w:rFonts w:ascii="TimesNewRomanSF" w:hAnsi="TimesNewRomanSF"/>
          <w:i/>
          <w:iCs/>
          <w:sz w:val="16"/>
          <w:szCs w:val="16"/>
        </w:rPr>
        <w:t>Philosophical Studies</w:t>
      </w:r>
      <w:r w:rsidR="00DA4101">
        <w:rPr>
          <w:rFonts w:ascii="TimesNewRomanSF" w:hAnsi="TimesNewRomanSF"/>
          <w:sz w:val="16"/>
          <w:szCs w:val="16"/>
        </w:rPr>
        <w:t xml:space="preserve"> </w:t>
      </w:r>
      <w:r w:rsidR="00DA4101" w:rsidRPr="00DA4101">
        <w:rPr>
          <w:rFonts w:ascii="TimesNewRomanSF" w:hAnsi="TimesNewRomanSF"/>
          <w:b/>
          <w:sz w:val="16"/>
          <w:szCs w:val="16"/>
        </w:rPr>
        <w:t>169</w:t>
      </w:r>
      <w:r w:rsidR="00DA4101">
        <w:rPr>
          <w:rFonts w:ascii="TimesNewRomanSF" w:hAnsi="TimesNewRomanSF"/>
          <w:sz w:val="16"/>
          <w:szCs w:val="16"/>
        </w:rPr>
        <w:t>: 1 – 18.</w:t>
      </w:r>
    </w:p>
    <w:p w14:paraId="0829B861" w14:textId="5C8ADCE9" w:rsidR="006C3058" w:rsidRPr="006C3058" w:rsidRDefault="006C3058" w:rsidP="006C3058">
      <w:pPr>
        <w:pStyle w:val="NormalWeb"/>
      </w:pPr>
      <w:r>
        <w:rPr>
          <w:rFonts w:ascii="TimesNewRomanSF" w:hAnsi="TimesNewRomanSF"/>
          <w:sz w:val="16"/>
          <w:szCs w:val="16"/>
        </w:rPr>
        <w:t>Boyle, M</w:t>
      </w:r>
      <w:r w:rsidR="00DA4101">
        <w:rPr>
          <w:rFonts w:ascii="TimesNewRomanSF" w:hAnsi="TimesNewRomanSF"/>
          <w:sz w:val="16"/>
          <w:szCs w:val="16"/>
        </w:rPr>
        <w:t>.</w:t>
      </w:r>
      <w:r>
        <w:rPr>
          <w:rFonts w:ascii="TimesNewRomanSF" w:hAnsi="TimesNewRomanSF"/>
          <w:sz w:val="16"/>
          <w:szCs w:val="16"/>
        </w:rPr>
        <w:t xml:space="preserve"> 2011a. Active Belief. In D. Hunter, ed., </w:t>
      </w:r>
      <w:r>
        <w:rPr>
          <w:rFonts w:ascii="TimesNewRomanSF" w:hAnsi="TimesNewRomanSF"/>
          <w:i/>
          <w:iCs/>
          <w:sz w:val="16"/>
          <w:szCs w:val="16"/>
        </w:rPr>
        <w:t>Belief and Agency</w:t>
      </w:r>
      <w:r>
        <w:rPr>
          <w:rFonts w:ascii="TimesNewRomanSF" w:hAnsi="TimesNewRomanSF"/>
          <w:sz w:val="16"/>
          <w:szCs w:val="16"/>
        </w:rPr>
        <w:t>. Calgary: University of Calgary Press, 2011: 119–147.</w:t>
      </w:r>
    </w:p>
    <w:p w14:paraId="4054728C" w14:textId="22F4A27C" w:rsidR="006C3058" w:rsidRDefault="006C3058" w:rsidP="006C3058">
      <w:pPr>
        <w:pStyle w:val="NormalWeb"/>
        <w:rPr>
          <w:rFonts w:ascii="TimesNewRomanSF" w:hAnsi="TimesNewRomanSF"/>
          <w:sz w:val="16"/>
          <w:szCs w:val="16"/>
        </w:rPr>
      </w:pPr>
      <w:r>
        <w:rPr>
          <w:rFonts w:ascii="TimesNewRomanSF" w:hAnsi="TimesNewRomanSF"/>
          <w:sz w:val="16"/>
          <w:szCs w:val="16"/>
        </w:rPr>
        <w:t xml:space="preserve">Boyle, M. 2011b. ‘Making up Your Mind’ and the Activity of Reason. </w:t>
      </w:r>
      <w:r>
        <w:rPr>
          <w:rFonts w:ascii="TimesNewRomanSF" w:hAnsi="TimesNewRomanSF"/>
          <w:i/>
          <w:iCs/>
          <w:sz w:val="16"/>
          <w:szCs w:val="16"/>
        </w:rPr>
        <w:t xml:space="preserve">Philosophers’ Imprint </w:t>
      </w:r>
      <w:r>
        <w:rPr>
          <w:rFonts w:ascii="TimesNewRomanSF" w:hAnsi="TimesNewRomanSF"/>
          <w:sz w:val="16"/>
          <w:szCs w:val="16"/>
        </w:rPr>
        <w:t>11: 1–24.</w:t>
      </w:r>
    </w:p>
    <w:p w14:paraId="1E0A34BC" w14:textId="5F2AB41B" w:rsidR="006C3058" w:rsidRDefault="006C3058" w:rsidP="006C3058">
      <w:pPr>
        <w:pStyle w:val="NormalWeb"/>
        <w:rPr>
          <w:rFonts w:ascii="TimesNewRomanSF" w:hAnsi="TimesNewRomanSF"/>
          <w:sz w:val="16"/>
          <w:szCs w:val="16"/>
        </w:rPr>
      </w:pPr>
      <w:r>
        <w:rPr>
          <w:rFonts w:ascii="TimesNewRomanSF" w:hAnsi="TimesNewRomanSF"/>
          <w:sz w:val="16"/>
          <w:szCs w:val="16"/>
        </w:rPr>
        <w:t xml:space="preserve">Chrisman, M. 2008. Ought to Believe. </w:t>
      </w:r>
      <w:r>
        <w:rPr>
          <w:rFonts w:ascii="TimesNewRomanSF" w:hAnsi="TimesNewRomanSF"/>
          <w:i/>
          <w:iCs/>
          <w:sz w:val="16"/>
          <w:szCs w:val="16"/>
        </w:rPr>
        <w:t xml:space="preserve">Journal of Philosophy </w:t>
      </w:r>
      <w:r w:rsidR="00DA4101" w:rsidRPr="00DA4101">
        <w:rPr>
          <w:rFonts w:ascii="TimesNewRomanSF" w:hAnsi="TimesNewRomanSF"/>
          <w:b/>
          <w:iCs/>
          <w:sz w:val="16"/>
          <w:szCs w:val="16"/>
        </w:rPr>
        <w:t>105</w:t>
      </w:r>
      <w:r>
        <w:rPr>
          <w:rFonts w:ascii="TimesNewRomanSF" w:hAnsi="TimesNewRomanSF"/>
          <w:sz w:val="16"/>
          <w:szCs w:val="16"/>
        </w:rPr>
        <w:t xml:space="preserve">: </w:t>
      </w:r>
      <w:r w:rsidR="00DA4101">
        <w:rPr>
          <w:rFonts w:ascii="TimesNewRomanSF" w:hAnsi="TimesNewRomanSF"/>
          <w:sz w:val="16"/>
          <w:szCs w:val="16"/>
        </w:rPr>
        <w:t>346 – 70.</w:t>
      </w:r>
    </w:p>
    <w:p w14:paraId="6C8B6B39" w14:textId="7DBE1BFF" w:rsidR="00F6725D" w:rsidRDefault="00F6725D" w:rsidP="006C3058">
      <w:pPr>
        <w:pStyle w:val="NormalWeb"/>
      </w:pPr>
      <w:r>
        <w:rPr>
          <w:rFonts w:ascii="TimesNewRomanSF" w:hAnsi="TimesNewRomanSF"/>
          <w:sz w:val="16"/>
          <w:szCs w:val="16"/>
        </w:rPr>
        <w:t xml:space="preserve">Chrisman, M. 2012. </w:t>
      </w:r>
      <w:r w:rsidR="00DA4101">
        <w:rPr>
          <w:rFonts w:ascii="TimesNewRomanSF" w:hAnsi="TimesNewRomanSF"/>
          <w:sz w:val="16"/>
          <w:szCs w:val="16"/>
        </w:rPr>
        <w:t xml:space="preserve">The Normative Evaluation of Belief and the Aspectual </w:t>
      </w:r>
      <w:proofErr w:type="spellStart"/>
      <w:r w:rsidR="00DA4101">
        <w:rPr>
          <w:rFonts w:ascii="TimesNewRomanSF" w:hAnsi="TimesNewRomanSF"/>
          <w:sz w:val="16"/>
          <w:szCs w:val="16"/>
        </w:rPr>
        <w:t>Classificiation</w:t>
      </w:r>
      <w:proofErr w:type="spellEnd"/>
      <w:r w:rsidR="00DA4101">
        <w:rPr>
          <w:rFonts w:ascii="TimesNewRomanSF" w:hAnsi="TimesNewRomanSF"/>
          <w:sz w:val="16"/>
          <w:szCs w:val="16"/>
        </w:rPr>
        <w:t xml:space="preserve"> of Belief and Knowledge Attributions. </w:t>
      </w:r>
      <w:r w:rsidR="00DA4101" w:rsidRPr="00DA4101">
        <w:rPr>
          <w:rFonts w:ascii="TimesNewRomanSF" w:hAnsi="TimesNewRomanSF"/>
          <w:i/>
          <w:sz w:val="16"/>
          <w:szCs w:val="16"/>
        </w:rPr>
        <w:t xml:space="preserve">Journal of Philosophy </w:t>
      </w:r>
      <w:r w:rsidR="00DA4101">
        <w:rPr>
          <w:rFonts w:ascii="TimesNewRomanSF" w:hAnsi="TimesNewRomanSF"/>
          <w:sz w:val="16"/>
          <w:szCs w:val="16"/>
        </w:rPr>
        <w:t xml:space="preserve">2012 </w:t>
      </w:r>
      <w:r w:rsidR="00DA4101" w:rsidRPr="00DA4101">
        <w:rPr>
          <w:rFonts w:ascii="TimesNewRomanSF" w:hAnsi="TimesNewRomanSF"/>
          <w:b/>
          <w:sz w:val="16"/>
          <w:szCs w:val="16"/>
        </w:rPr>
        <w:t>109</w:t>
      </w:r>
      <w:r w:rsidR="00DA4101">
        <w:rPr>
          <w:rFonts w:ascii="TimesNewRomanSF" w:hAnsi="TimesNewRomanSF"/>
          <w:sz w:val="16"/>
          <w:szCs w:val="16"/>
        </w:rPr>
        <w:t>: 588 – 612.</w:t>
      </w:r>
    </w:p>
    <w:p w14:paraId="3083D17B" w14:textId="17AC1954" w:rsidR="006C3058" w:rsidRPr="006C3058" w:rsidRDefault="006C3058" w:rsidP="006C3058">
      <w:pPr>
        <w:pStyle w:val="NormalWeb"/>
      </w:pPr>
      <w:proofErr w:type="spellStart"/>
      <w:r>
        <w:rPr>
          <w:rFonts w:ascii="TimesNewRomanSF" w:hAnsi="TimesNewRomanSF"/>
          <w:sz w:val="16"/>
          <w:szCs w:val="16"/>
        </w:rPr>
        <w:t>Hieronymi</w:t>
      </w:r>
      <w:proofErr w:type="spellEnd"/>
      <w:r>
        <w:rPr>
          <w:rFonts w:ascii="TimesNewRomanSF" w:hAnsi="TimesNewRomanSF"/>
          <w:sz w:val="16"/>
          <w:szCs w:val="16"/>
        </w:rPr>
        <w:t xml:space="preserve">, P. 2006. Controlling Attitudes. </w:t>
      </w:r>
      <w:r>
        <w:rPr>
          <w:rFonts w:ascii="TimesNewRomanSF" w:hAnsi="TimesNewRomanSF"/>
          <w:i/>
          <w:iCs/>
          <w:sz w:val="16"/>
          <w:szCs w:val="16"/>
        </w:rPr>
        <w:t xml:space="preserve">Pacific Philosophical Quarterly </w:t>
      </w:r>
      <w:r>
        <w:rPr>
          <w:rFonts w:ascii="TimesNewRomanSF" w:hAnsi="TimesNewRomanSF"/>
          <w:sz w:val="16"/>
          <w:szCs w:val="16"/>
        </w:rPr>
        <w:t xml:space="preserve">87: 45–74. </w:t>
      </w:r>
    </w:p>
    <w:p w14:paraId="6FDDBFAA" w14:textId="77777777" w:rsidR="006C3058" w:rsidRDefault="006C3058" w:rsidP="006C3058">
      <w:pPr>
        <w:pStyle w:val="NormalWeb"/>
        <w:rPr>
          <w:rFonts w:ascii="TimesNewRomanSF" w:hAnsi="TimesNewRomanSF"/>
          <w:sz w:val="16"/>
          <w:szCs w:val="16"/>
        </w:rPr>
      </w:pPr>
      <w:proofErr w:type="spellStart"/>
      <w:r>
        <w:rPr>
          <w:rFonts w:ascii="TimesNewRomanSF" w:hAnsi="TimesNewRomanSF"/>
          <w:sz w:val="16"/>
          <w:szCs w:val="16"/>
        </w:rPr>
        <w:t>Hieronymi</w:t>
      </w:r>
      <w:proofErr w:type="spellEnd"/>
      <w:r>
        <w:rPr>
          <w:rFonts w:ascii="TimesNewRomanSF" w:hAnsi="TimesNewRomanSF"/>
          <w:sz w:val="16"/>
          <w:szCs w:val="16"/>
        </w:rPr>
        <w:t xml:space="preserve">, P. 2009. Two Kinds of Agency. In L. O’Brien and M. </w:t>
      </w:r>
      <w:proofErr w:type="spellStart"/>
      <w:r>
        <w:rPr>
          <w:rFonts w:ascii="TimesNewRomanSF" w:hAnsi="TimesNewRomanSF"/>
          <w:sz w:val="16"/>
          <w:szCs w:val="16"/>
        </w:rPr>
        <w:t>Soteriou</w:t>
      </w:r>
      <w:proofErr w:type="spellEnd"/>
      <w:r>
        <w:rPr>
          <w:rFonts w:ascii="TimesNewRomanSF" w:hAnsi="TimesNewRomanSF"/>
          <w:sz w:val="16"/>
          <w:szCs w:val="16"/>
        </w:rPr>
        <w:t xml:space="preserve">, eds., </w:t>
      </w:r>
      <w:r>
        <w:rPr>
          <w:rFonts w:ascii="TimesNewRomanSF" w:hAnsi="TimesNewRomanSF"/>
          <w:i/>
          <w:iCs/>
          <w:sz w:val="16"/>
          <w:szCs w:val="16"/>
        </w:rPr>
        <w:t>Mental Actions</w:t>
      </w:r>
      <w:r>
        <w:rPr>
          <w:rFonts w:ascii="TimesNewRomanSF" w:hAnsi="TimesNewRomanSF"/>
          <w:sz w:val="16"/>
          <w:szCs w:val="16"/>
        </w:rPr>
        <w:t>. Oxford: Oxford University Press, 2009: 138–162.</w:t>
      </w:r>
    </w:p>
    <w:p w14:paraId="47AB655A" w14:textId="3016E2D5" w:rsidR="006C3058" w:rsidRDefault="006C3058" w:rsidP="006C3058">
      <w:pPr>
        <w:pStyle w:val="NormalWeb"/>
        <w:rPr>
          <w:rFonts w:ascii="TimesNewRomanSF" w:hAnsi="TimesNewRomanSF"/>
          <w:sz w:val="16"/>
          <w:szCs w:val="16"/>
        </w:rPr>
      </w:pPr>
      <w:proofErr w:type="spellStart"/>
      <w:r>
        <w:rPr>
          <w:rFonts w:ascii="TimesNewRomanSF" w:hAnsi="TimesNewRomanSF"/>
          <w:sz w:val="16"/>
          <w:szCs w:val="16"/>
        </w:rPr>
        <w:t>Hieronymi</w:t>
      </w:r>
      <w:proofErr w:type="spellEnd"/>
      <w:r>
        <w:rPr>
          <w:rFonts w:ascii="TimesNewRomanSF" w:hAnsi="TimesNewRomanSF"/>
          <w:sz w:val="16"/>
          <w:szCs w:val="16"/>
        </w:rPr>
        <w:t xml:space="preserve">, P. 2011. Believing at Will. In D. Hunter, ed., </w:t>
      </w:r>
      <w:r>
        <w:rPr>
          <w:rFonts w:ascii="TimesNewRomanSF" w:hAnsi="TimesNewRomanSF"/>
          <w:i/>
          <w:iCs/>
          <w:sz w:val="16"/>
          <w:szCs w:val="16"/>
        </w:rPr>
        <w:t>Belief and Agency</w:t>
      </w:r>
      <w:r>
        <w:rPr>
          <w:rFonts w:ascii="TimesNewRomanSF" w:hAnsi="TimesNewRomanSF"/>
          <w:sz w:val="16"/>
          <w:szCs w:val="16"/>
        </w:rPr>
        <w:t>. Calgary: University of Calgary Press, 2011: 149–187.</w:t>
      </w:r>
    </w:p>
    <w:p w14:paraId="7908C2F8" w14:textId="223D1094" w:rsidR="007E3337" w:rsidRDefault="007E3337" w:rsidP="006C3058">
      <w:pPr>
        <w:pStyle w:val="NormalWeb"/>
        <w:rPr>
          <w:rFonts w:ascii="TimesNewRomanSF" w:hAnsi="TimesNewRomanSF"/>
          <w:sz w:val="16"/>
          <w:szCs w:val="16"/>
        </w:rPr>
      </w:pPr>
      <w:r>
        <w:rPr>
          <w:rFonts w:ascii="TimesNewRomanSF" w:hAnsi="TimesNewRomanSF"/>
          <w:sz w:val="16"/>
          <w:szCs w:val="16"/>
        </w:rPr>
        <w:t xml:space="preserve">Neta, R.  2008. What Evidence Do You Have?  </w:t>
      </w:r>
      <w:r w:rsidRPr="00DA4101">
        <w:rPr>
          <w:rFonts w:ascii="TimesNewRomanSF" w:hAnsi="TimesNewRomanSF"/>
          <w:i/>
          <w:sz w:val="16"/>
          <w:szCs w:val="16"/>
        </w:rPr>
        <w:t>British Journal for the Philosophy of Science</w:t>
      </w:r>
      <w:r w:rsidR="00DA4101">
        <w:rPr>
          <w:rFonts w:ascii="TimesNewRomanSF" w:hAnsi="TimesNewRomanSF"/>
          <w:sz w:val="16"/>
          <w:szCs w:val="16"/>
        </w:rPr>
        <w:t xml:space="preserve"> </w:t>
      </w:r>
      <w:r w:rsidR="00DA4101" w:rsidRPr="00DA4101">
        <w:rPr>
          <w:rFonts w:ascii="TimesNewRomanSF" w:hAnsi="TimesNewRomanSF"/>
          <w:b/>
          <w:sz w:val="16"/>
          <w:szCs w:val="16"/>
        </w:rPr>
        <w:t>59</w:t>
      </w:r>
      <w:r w:rsidR="00DA4101">
        <w:rPr>
          <w:rFonts w:ascii="TimesNewRomanSF" w:hAnsi="TimesNewRomanSF"/>
          <w:sz w:val="16"/>
          <w:szCs w:val="16"/>
        </w:rPr>
        <w:t>: 89 – 119.</w:t>
      </w:r>
    </w:p>
    <w:p w14:paraId="4017D13B" w14:textId="36DBF4E7" w:rsidR="007E3337" w:rsidRDefault="007E3337" w:rsidP="006C3058">
      <w:pPr>
        <w:pStyle w:val="NormalWeb"/>
        <w:rPr>
          <w:rFonts w:ascii="TimesNewRomanSF" w:hAnsi="TimesNewRomanSF"/>
          <w:sz w:val="16"/>
          <w:szCs w:val="16"/>
        </w:rPr>
      </w:pPr>
      <w:r>
        <w:rPr>
          <w:rFonts w:ascii="TimesNewRomanSF" w:hAnsi="TimesNewRomanSF"/>
          <w:sz w:val="16"/>
          <w:szCs w:val="16"/>
        </w:rPr>
        <w:t>Neta, R. Forthcoming. The Basing Relation.  Philosophical Review.</w:t>
      </w:r>
    </w:p>
    <w:p w14:paraId="775B669A" w14:textId="664023E6" w:rsidR="006C3058" w:rsidRDefault="006C3058" w:rsidP="006C3058">
      <w:pPr>
        <w:pStyle w:val="NormalWeb"/>
      </w:pPr>
      <w:proofErr w:type="spellStart"/>
      <w:r>
        <w:rPr>
          <w:rFonts w:ascii="TimesNewRomanSF" w:hAnsi="TimesNewRomanSF"/>
          <w:sz w:val="16"/>
          <w:szCs w:val="16"/>
        </w:rPr>
        <w:t>Peacocke</w:t>
      </w:r>
      <w:proofErr w:type="spellEnd"/>
      <w:r>
        <w:rPr>
          <w:rFonts w:ascii="TimesNewRomanSF" w:hAnsi="TimesNewRomanSF"/>
          <w:sz w:val="16"/>
          <w:szCs w:val="16"/>
        </w:rPr>
        <w:t xml:space="preserve">, C. 1999. </w:t>
      </w:r>
      <w:r>
        <w:rPr>
          <w:rFonts w:ascii="TimesNewRomanSF" w:hAnsi="TimesNewRomanSF"/>
          <w:i/>
          <w:iCs/>
          <w:sz w:val="16"/>
          <w:szCs w:val="16"/>
        </w:rPr>
        <w:t>Being Known</w:t>
      </w:r>
      <w:r>
        <w:rPr>
          <w:rFonts w:ascii="TimesNewRomanSF" w:hAnsi="TimesNewRomanSF"/>
          <w:sz w:val="16"/>
          <w:szCs w:val="16"/>
        </w:rPr>
        <w:t>. Oxford: Oxford University Press.</w:t>
      </w:r>
    </w:p>
    <w:p w14:paraId="358E112C" w14:textId="26AB4EE3" w:rsidR="006C3058" w:rsidRDefault="006C3058" w:rsidP="006C3058">
      <w:pPr>
        <w:pStyle w:val="NormalWeb"/>
        <w:rPr>
          <w:rFonts w:ascii="TimesNewRomanSF" w:hAnsi="TimesNewRomanSF"/>
          <w:sz w:val="16"/>
          <w:szCs w:val="16"/>
        </w:rPr>
      </w:pPr>
      <w:proofErr w:type="spellStart"/>
      <w:r>
        <w:rPr>
          <w:rFonts w:ascii="TimesNewRomanSF" w:hAnsi="TimesNewRomanSF"/>
          <w:sz w:val="16"/>
          <w:szCs w:val="16"/>
        </w:rPr>
        <w:t>Vendler</w:t>
      </w:r>
      <w:proofErr w:type="spellEnd"/>
      <w:r>
        <w:rPr>
          <w:rFonts w:ascii="TimesNewRomanSF" w:hAnsi="TimesNewRomanSF"/>
          <w:sz w:val="16"/>
          <w:szCs w:val="16"/>
        </w:rPr>
        <w:t xml:space="preserve">, Z. 1957. Verbs and Times. </w:t>
      </w:r>
      <w:r>
        <w:rPr>
          <w:rFonts w:ascii="TimesNewRomanSF" w:hAnsi="TimesNewRomanSF"/>
          <w:i/>
          <w:iCs/>
          <w:sz w:val="16"/>
          <w:szCs w:val="16"/>
        </w:rPr>
        <w:t xml:space="preserve">Philosophical Review </w:t>
      </w:r>
      <w:r>
        <w:rPr>
          <w:rFonts w:ascii="TimesNewRomanSF" w:hAnsi="TimesNewRomanSF"/>
          <w:sz w:val="16"/>
          <w:szCs w:val="16"/>
        </w:rPr>
        <w:t>56: 97–121.</w:t>
      </w:r>
    </w:p>
    <w:p w14:paraId="10DC44E5" w14:textId="48A66B64" w:rsidR="00C722EF" w:rsidRPr="00DA4101" w:rsidRDefault="006C3058" w:rsidP="00DA4101">
      <w:pPr>
        <w:pStyle w:val="NormalWeb"/>
      </w:pPr>
      <w:r>
        <w:rPr>
          <w:rFonts w:ascii="TimesNewRomanSF" w:hAnsi="TimesNewRomanSF"/>
          <w:sz w:val="16"/>
          <w:szCs w:val="16"/>
        </w:rPr>
        <w:t xml:space="preserve">Williams, B. 1970. Deciding to Believe. In </w:t>
      </w:r>
      <w:r>
        <w:rPr>
          <w:rFonts w:ascii="TimesNewRomanSF" w:hAnsi="TimesNewRomanSF"/>
          <w:i/>
          <w:iCs/>
          <w:sz w:val="16"/>
          <w:szCs w:val="16"/>
        </w:rPr>
        <w:t>Problems of the Self</w:t>
      </w:r>
      <w:r>
        <w:rPr>
          <w:rFonts w:ascii="TimesNewRomanSF" w:hAnsi="TimesNewRomanSF"/>
          <w:sz w:val="16"/>
          <w:szCs w:val="16"/>
        </w:rPr>
        <w:t xml:space="preserve">. Cambridge: Cambridge University Press, 1981: 136–151. </w:t>
      </w:r>
    </w:p>
    <w:p w14:paraId="6FF786AA" w14:textId="536A87C1" w:rsidR="008F520F" w:rsidRDefault="008F520F" w:rsidP="000031F6"/>
    <w:sectPr w:rsidR="008F520F" w:rsidSect="009630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474B" w14:textId="77777777" w:rsidR="00CB2BD3" w:rsidRDefault="00CB2BD3" w:rsidP="00CB2BD3">
      <w:r>
        <w:separator/>
      </w:r>
    </w:p>
  </w:endnote>
  <w:endnote w:type="continuationSeparator" w:id="0">
    <w:p w14:paraId="2F69F8D9" w14:textId="77777777" w:rsidR="00CB2BD3" w:rsidRDefault="00CB2BD3" w:rsidP="00CB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TimesNewRomanSF">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B73E" w14:textId="77777777" w:rsidR="00CB2BD3" w:rsidRDefault="00CB2BD3" w:rsidP="00CB2BD3">
      <w:r>
        <w:separator/>
      </w:r>
    </w:p>
  </w:footnote>
  <w:footnote w:type="continuationSeparator" w:id="0">
    <w:p w14:paraId="24DD0614" w14:textId="77777777" w:rsidR="00CB2BD3" w:rsidRDefault="00CB2BD3" w:rsidP="00CB2BD3">
      <w:r>
        <w:continuationSeparator/>
      </w:r>
    </w:p>
  </w:footnote>
  <w:footnote w:id="1">
    <w:p w14:paraId="120451F0" w14:textId="6B9B419A" w:rsidR="006C3058" w:rsidRDefault="006C3058">
      <w:pPr>
        <w:pStyle w:val="FootnoteText"/>
      </w:pPr>
      <w:r>
        <w:rPr>
          <w:rStyle w:val="FootnoteReference"/>
        </w:rPr>
        <w:footnoteRef/>
      </w:r>
      <w:r>
        <w:t xml:space="preserve"> Williams 1970, </w:t>
      </w:r>
      <w:proofErr w:type="spellStart"/>
      <w:r>
        <w:t>Hieronymi</w:t>
      </w:r>
      <w:proofErr w:type="spellEnd"/>
      <w:r>
        <w:t xml:space="preserve"> 2011.</w:t>
      </w:r>
    </w:p>
  </w:footnote>
  <w:footnote w:id="2">
    <w:p w14:paraId="45C6A6C2" w14:textId="5DF2214E" w:rsidR="00CB2BD3" w:rsidRDefault="00CB2BD3">
      <w:pPr>
        <w:pStyle w:val="FootnoteText"/>
      </w:pPr>
      <w:r>
        <w:rPr>
          <w:rStyle w:val="FootnoteReference"/>
        </w:rPr>
        <w:footnoteRef/>
      </w:r>
      <w:r>
        <w:t xml:space="preserve"> Chrisman 2008</w:t>
      </w:r>
      <w:r w:rsidR="006C3058">
        <w:t>.</w:t>
      </w:r>
    </w:p>
  </w:footnote>
  <w:footnote w:id="3">
    <w:p w14:paraId="1C63DE0C" w14:textId="2CF49650" w:rsidR="00CB2BD3" w:rsidRDefault="00CB2BD3">
      <w:pPr>
        <w:pStyle w:val="FootnoteText"/>
      </w:pPr>
      <w:r>
        <w:rPr>
          <w:rStyle w:val="FootnoteReference"/>
        </w:rPr>
        <w:footnoteRef/>
      </w:r>
      <w:r w:rsidR="006C3058">
        <w:t xml:space="preserve"> </w:t>
      </w:r>
      <w:proofErr w:type="spellStart"/>
      <w:r w:rsidR="006C3058">
        <w:t>Peacocke</w:t>
      </w:r>
      <w:proofErr w:type="spellEnd"/>
      <w:r w:rsidR="006C3058">
        <w:t xml:space="preserve"> 1999.</w:t>
      </w:r>
    </w:p>
  </w:footnote>
  <w:footnote w:id="4">
    <w:p w14:paraId="7E354E9B" w14:textId="3E3740E5" w:rsidR="00CB2BD3" w:rsidRDefault="00CB2BD3">
      <w:pPr>
        <w:pStyle w:val="FootnoteText"/>
      </w:pPr>
      <w:r>
        <w:rPr>
          <w:rStyle w:val="FootnoteReference"/>
        </w:rPr>
        <w:footnoteRef/>
      </w:r>
      <w:r w:rsidR="006C3058">
        <w:t xml:space="preserve"> </w:t>
      </w:r>
      <w:proofErr w:type="spellStart"/>
      <w:r w:rsidR="006C3058">
        <w:t>Hieronymi</w:t>
      </w:r>
      <w:proofErr w:type="spellEnd"/>
      <w:r w:rsidR="006C3058">
        <w:t xml:space="preserve"> 2006.</w:t>
      </w:r>
    </w:p>
  </w:footnote>
  <w:footnote w:id="5">
    <w:p w14:paraId="2F67C9C5" w14:textId="0A546C1F" w:rsidR="00CB2BD3" w:rsidRDefault="00CB2BD3">
      <w:pPr>
        <w:pStyle w:val="FootnoteText"/>
      </w:pPr>
      <w:r>
        <w:rPr>
          <w:rStyle w:val="FootnoteReference"/>
        </w:rPr>
        <w:footnoteRef/>
      </w:r>
      <w:r>
        <w:t xml:space="preserve"> </w:t>
      </w:r>
      <w:proofErr w:type="spellStart"/>
      <w:r>
        <w:t>Setiya</w:t>
      </w:r>
      <w:proofErr w:type="spellEnd"/>
      <w:r>
        <w:t xml:space="preserve"> 2013, 191.</w:t>
      </w:r>
    </w:p>
  </w:footnote>
  <w:footnote w:id="6">
    <w:p w14:paraId="18E984E0" w14:textId="70642CB5" w:rsidR="00966EE9" w:rsidRDefault="00966EE9">
      <w:pPr>
        <w:pStyle w:val="FootnoteText"/>
      </w:pPr>
      <w:r>
        <w:rPr>
          <w:rStyle w:val="FootnoteReference"/>
        </w:rPr>
        <w:footnoteRef/>
      </w:r>
      <w:r>
        <w:t xml:space="preserve"> </w:t>
      </w:r>
      <w:proofErr w:type="spellStart"/>
      <w:r>
        <w:t>Setiya</w:t>
      </w:r>
      <w:proofErr w:type="spellEnd"/>
      <w:r>
        <w:t xml:space="preserve"> 2013, 191 – 2.</w:t>
      </w:r>
    </w:p>
  </w:footnote>
  <w:footnote w:id="7">
    <w:p w14:paraId="7281A972" w14:textId="6247CDB6" w:rsidR="009A6171" w:rsidRDefault="009A6171">
      <w:pPr>
        <w:pStyle w:val="FootnoteText"/>
      </w:pPr>
      <w:r>
        <w:rPr>
          <w:rStyle w:val="FootnoteReference"/>
        </w:rPr>
        <w:footnoteRef/>
      </w:r>
      <w:r>
        <w:t xml:space="preserve"> BBC is one way of </w:t>
      </w:r>
      <w:proofErr w:type="spellStart"/>
      <w:r>
        <w:t>specifiying</w:t>
      </w:r>
      <w:proofErr w:type="spellEnd"/>
      <w:r>
        <w:t xml:space="preserve"> what is sometimes called a “Doxastic Theory of Basing”, but it is not the only way:  doxastic theorists might take the epistemic basing relation not to involve belief in any particular conjunction, but rather some synchronic or diachronic pattern of beliefs.  </w:t>
      </w:r>
    </w:p>
  </w:footnote>
  <w:footnote w:id="8">
    <w:p w14:paraId="0A2568F2" w14:textId="77ABB401" w:rsidR="003D34D4" w:rsidRDefault="003D34D4">
      <w:pPr>
        <w:pStyle w:val="FootnoteText"/>
      </w:pPr>
      <w:r>
        <w:rPr>
          <w:rStyle w:val="FootnoteReference"/>
        </w:rPr>
        <w:footnoteRef/>
      </w:r>
      <w:r>
        <w:t xml:space="preserve"> Neta 2008</w:t>
      </w:r>
      <w:r w:rsidR="009A6171">
        <w:t>.</w:t>
      </w:r>
    </w:p>
  </w:footnote>
  <w:footnote w:id="9">
    <w:p w14:paraId="21829299" w14:textId="09694655" w:rsidR="00A779DF" w:rsidRDefault="00A779DF">
      <w:pPr>
        <w:pStyle w:val="FootnoteText"/>
      </w:pPr>
      <w:r>
        <w:rPr>
          <w:rStyle w:val="FootnoteReference"/>
        </w:rPr>
        <w:footnoteRef/>
      </w:r>
      <w:r>
        <w:t xml:space="preserve"> I’ve argued in detail for this account of the basing relation in Neta forthcoming.</w:t>
      </w:r>
    </w:p>
  </w:footnote>
  <w:footnote w:id="10">
    <w:p w14:paraId="6BFA59CF" w14:textId="43801848" w:rsidR="00F6725D" w:rsidRDefault="00F6725D">
      <w:pPr>
        <w:pStyle w:val="FootnoteText"/>
      </w:pPr>
      <w:r>
        <w:rPr>
          <w:rStyle w:val="FootnoteReference"/>
        </w:rPr>
        <w:footnoteRef/>
      </w:r>
      <w:r>
        <w:t xml:space="preserve"> Chrisman 2012 defends this same controversial idea.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7FE"/>
    <w:multiLevelType w:val="hybridMultilevel"/>
    <w:tmpl w:val="FFCA92E0"/>
    <w:lvl w:ilvl="0" w:tplc="67663D1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C27855"/>
    <w:multiLevelType w:val="hybridMultilevel"/>
    <w:tmpl w:val="7BEEF5E2"/>
    <w:lvl w:ilvl="0" w:tplc="01DE19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94EBE"/>
    <w:multiLevelType w:val="hybridMultilevel"/>
    <w:tmpl w:val="AAFAAED2"/>
    <w:lvl w:ilvl="0" w:tplc="ACC8F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46E97"/>
    <w:multiLevelType w:val="hybridMultilevel"/>
    <w:tmpl w:val="8946A546"/>
    <w:lvl w:ilvl="0" w:tplc="F140C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1408D"/>
    <w:multiLevelType w:val="hybridMultilevel"/>
    <w:tmpl w:val="A658F73E"/>
    <w:lvl w:ilvl="0" w:tplc="8572C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37"/>
    <w:rsid w:val="000031F6"/>
    <w:rsid w:val="000269EF"/>
    <w:rsid w:val="00096337"/>
    <w:rsid w:val="000D2E94"/>
    <w:rsid w:val="001D4752"/>
    <w:rsid w:val="00291C84"/>
    <w:rsid w:val="002B1216"/>
    <w:rsid w:val="003D34D4"/>
    <w:rsid w:val="003F48A1"/>
    <w:rsid w:val="004F1623"/>
    <w:rsid w:val="0054358B"/>
    <w:rsid w:val="005B23D6"/>
    <w:rsid w:val="005B566B"/>
    <w:rsid w:val="005F730B"/>
    <w:rsid w:val="00616572"/>
    <w:rsid w:val="00695F21"/>
    <w:rsid w:val="006976D0"/>
    <w:rsid w:val="006C3058"/>
    <w:rsid w:val="006C6B72"/>
    <w:rsid w:val="006F4CDD"/>
    <w:rsid w:val="0070012B"/>
    <w:rsid w:val="00714ADF"/>
    <w:rsid w:val="0073471C"/>
    <w:rsid w:val="007637C7"/>
    <w:rsid w:val="007E3337"/>
    <w:rsid w:val="0080143A"/>
    <w:rsid w:val="00867C2E"/>
    <w:rsid w:val="008C0D9B"/>
    <w:rsid w:val="008E0B40"/>
    <w:rsid w:val="008F520F"/>
    <w:rsid w:val="00963006"/>
    <w:rsid w:val="00966EE9"/>
    <w:rsid w:val="00985962"/>
    <w:rsid w:val="009A1D63"/>
    <w:rsid w:val="009A6171"/>
    <w:rsid w:val="00A27669"/>
    <w:rsid w:val="00A5465E"/>
    <w:rsid w:val="00A632B1"/>
    <w:rsid w:val="00A710FF"/>
    <w:rsid w:val="00A779DF"/>
    <w:rsid w:val="00A938E3"/>
    <w:rsid w:val="00AA7F88"/>
    <w:rsid w:val="00B408EF"/>
    <w:rsid w:val="00B471CB"/>
    <w:rsid w:val="00B61C4F"/>
    <w:rsid w:val="00B65BDB"/>
    <w:rsid w:val="00BF53B9"/>
    <w:rsid w:val="00C722EF"/>
    <w:rsid w:val="00CB2BD3"/>
    <w:rsid w:val="00CD3DFC"/>
    <w:rsid w:val="00D60081"/>
    <w:rsid w:val="00DA4101"/>
    <w:rsid w:val="00F0311B"/>
    <w:rsid w:val="00F40D79"/>
    <w:rsid w:val="00F6725D"/>
    <w:rsid w:val="00FB4B49"/>
    <w:rsid w:val="00FC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38B97"/>
  <w15:chartTrackingRefBased/>
  <w15:docId w15:val="{89828CEB-DAC9-B146-BC36-5701012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37"/>
    <w:pPr>
      <w:ind w:left="720"/>
      <w:contextualSpacing/>
    </w:pPr>
    <w:rPr>
      <w:rFonts w:eastAsiaTheme="minorEastAsia"/>
    </w:rPr>
  </w:style>
  <w:style w:type="paragraph" w:styleId="FootnoteText">
    <w:name w:val="footnote text"/>
    <w:basedOn w:val="Normal"/>
    <w:link w:val="FootnoteTextChar"/>
    <w:uiPriority w:val="99"/>
    <w:semiHidden/>
    <w:unhideWhenUsed/>
    <w:rsid w:val="00CB2BD3"/>
    <w:rPr>
      <w:sz w:val="20"/>
      <w:szCs w:val="20"/>
    </w:rPr>
  </w:style>
  <w:style w:type="character" w:customStyle="1" w:styleId="FootnoteTextChar">
    <w:name w:val="Footnote Text Char"/>
    <w:basedOn w:val="DefaultParagraphFont"/>
    <w:link w:val="FootnoteText"/>
    <w:uiPriority w:val="99"/>
    <w:semiHidden/>
    <w:rsid w:val="00CB2BD3"/>
    <w:rPr>
      <w:sz w:val="20"/>
      <w:szCs w:val="20"/>
    </w:rPr>
  </w:style>
  <w:style w:type="character" w:styleId="FootnoteReference">
    <w:name w:val="footnote reference"/>
    <w:basedOn w:val="DefaultParagraphFont"/>
    <w:uiPriority w:val="99"/>
    <w:semiHidden/>
    <w:unhideWhenUsed/>
    <w:rsid w:val="00CB2BD3"/>
    <w:rPr>
      <w:vertAlign w:val="superscript"/>
    </w:rPr>
  </w:style>
  <w:style w:type="paragraph" w:styleId="NormalWeb">
    <w:name w:val="Normal (Web)"/>
    <w:basedOn w:val="Normal"/>
    <w:uiPriority w:val="99"/>
    <w:unhideWhenUsed/>
    <w:rsid w:val="006C30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4285">
      <w:bodyDiv w:val="1"/>
      <w:marLeft w:val="0"/>
      <w:marRight w:val="0"/>
      <w:marTop w:val="0"/>
      <w:marBottom w:val="0"/>
      <w:divBdr>
        <w:top w:val="none" w:sz="0" w:space="0" w:color="auto"/>
        <w:left w:val="none" w:sz="0" w:space="0" w:color="auto"/>
        <w:bottom w:val="none" w:sz="0" w:space="0" w:color="auto"/>
        <w:right w:val="none" w:sz="0" w:space="0" w:color="auto"/>
      </w:divBdr>
      <w:divsChild>
        <w:div w:id="1626620887">
          <w:marLeft w:val="0"/>
          <w:marRight w:val="0"/>
          <w:marTop w:val="0"/>
          <w:marBottom w:val="0"/>
          <w:divBdr>
            <w:top w:val="none" w:sz="0" w:space="0" w:color="auto"/>
            <w:left w:val="none" w:sz="0" w:space="0" w:color="auto"/>
            <w:bottom w:val="none" w:sz="0" w:space="0" w:color="auto"/>
            <w:right w:val="none" w:sz="0" w:space="0" w:color="auto"/>
          </w:divBdr>
          <w:divsChild>
            <w:div w:id="574050255">
              <w:marLeft w:val="0"/>
              <w:marRight w:val="0"/>
              <w:marTop w:val="0"/>
              <w:marBottom w:val="0"/>
              <w:divBdr>
                <w:top w:val="none" w:sz="0" w:space="0" w:color="auto"/>
                <w:left w:val="none" w:sz="0" w:space="0" w:color="auto"/>
                <w:bottom w:val="none" w:sz="0" w:space="0" w:color="auto"/>
                <w:right w:val="none" w:sz="0" w:space="0" w:color="auto"/>
              </w:divBdr>
              <w:divsChild>
                <w:div w:id="19801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834">
      <w:bodyDiv w:val="1"/>
      <w:marLeft w:val="0"/>
      <w:marRight w:val="0"/>
      <w:marTop w:val="0"/>
      <w:marBottom w:val="0"/>
      <w:divBdr>
        <w:top w:val="none" w:sz="0" w:space="0" w:color="auto"/>
        <w:left w:val="none" w:sz="0" w:space="0" w:color="auto"/>
        <w:bottom w:val="none" w:sz="0" w:space="0" w:color="auto"/>
        <w:right w:val="none" w:sz="0" w:space="0" w:color="auto"/>
      </w:divBdr>
    </w:div>
    <w:div w:id="1137262093">
      <w:bodyDiv w:val="1"/>
      <w:marLeft w:val="0"/>
      <w:marRight w:val="0"/>
      <w:marTop w:val="0"/>
      <w:marBottom w:val="0"/>
      <w:divBdr>
        <w:top w:val="none" w:sz="0" w:space="0" w:color="auto"/>
        <w:left w:val="none" w:sz="0" w:space="0" w:color="auto"/>
        <w:bottom w:val="none" w:sz="0" w:space="0" w:color="auto"/>
        <w:right w:val="none" w:sz="0" w:space="0" w:color="auto"/>
      </w:divBdr>
      <w:divsChild>
        <w:div w:id="1259369705">
          <w:marLeft w:val="0"/>
          <w:marRight w:val="0"/>
          <w:marTop w:val="0"/>
          <w:marBottom w:val="0"/>
          <w:divBdr>
            <w:top w:val="none" w:sz="0" w:space="0" w:color="auto"/>
            <w:left w:val="none" w:sz="0" w:space="0" w:color="auto"/>
            <w:bottom w:val="none" w:sz="0" w:space="0" w:color="auto"/>
            <w:right w:val="none" w:sz="0" w:space="0" w:color="auto"/>
          </w:divBdr>
          <w:divsChild>
            <w:div w:id="1716202301">
              <w:marLeft w:val="0"/>
              <w:marRight w:val="0"/>
              <w:marTop w:val="0"/>
              <w:marBottom w:val="0"/>
              <w:divBdr>
                <w:top w:val="none" w:sz="0" w:space="0" w:color="auto"/>
                <w:left w:val="none" w:sz="0" w:space="0" w:color="auto"/>
                <w:bottom w:val="none" w:sz="0" w:space="0" w:color="auto"/>
                <w:right w:val="none" w:sz="0" w:space="0" w:color="auto"/>
              </w:divBdr>
              <w:divsChild>
                <w:div w:id="798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0253">
      <w:bodyDiv w:val="1"/>
      <w:marLeft w:val="0"/>
      <w:marRight w:val="0"/>
      <w:marTop w:val="0"/>
      <w:marBottom w:val="0"/>
      <w:divBdr>
        <w:top w:val="none" w:sz="0" w:space="0" w:color="auto"/>
        <w:left w:val="none" w:sz="0" w:space="0" w:color="auto"/>
        <w:bottom w:val="none" w:sz="0" w:space="0" w:color="auto"/>
        <w:right w:val="none" w:sz="0" w:space="0" w:color="auto"/>
      </w:divBdr>
      <w:divsChild>
        <w:div w:id="1381398802">
          <w:marLeft w:val="0"/>
          <w:marRight w:val="0"/>
          <w:marTop w:val="0"/>
          <w:marBottom w:val="0"/>
          <w:divBdr>
            <w:top w:val="none" w:sz="0" w:space="0" w:color="auto"/>
            <w:left w:val="none" w:sz="0" w:space="0" w:color="auto"/>
            <w:bottom w:val="none" w:sz="0" w:space="0" w:color="auto"/>
            <w:right w:val="none" w:sz="0" w:space="0" w:color="auto"/>
          </w:divBdr>
          <w:divsChild>
            <w:div w:id="1260336884">
              <w:marLeft w:val="0"/>
              <w:marRight w:val="0"/>
              <w:marTop w:val="0"/>
              <w:marBottom w:val="0"/>
              <w:divBdr>
                <w:top w:val="none" w:sz="0" w:space="0" w:color="auto"/>
                <w:left w:val="none" w:sz="0" w:space="0" w:color="auto"/>
                <w:bottom w:val="none" w:sz="0" w:space="0" w:color="auto"/>
                <w:right w:val="none" w:sz="0" w:space="0" w:color="auto"/>
              </w:divBdr>
              <w:divsChild>
                <w:div w:id="21256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4344">
      <w:bodyDiv w:val="1"/>
      <w:marLeft w:val="0"/>
      <w:marRight w:val="0"/>
      <w:marTop w:val="0"/>
      <w:marBottom w:val="0"/>
      <w:divBdr>
        <w:top w:val="none" w:sz="0" w:space="0" w:color="auto"/>
        <w:left w:val="none" w:sz="0" w:space="0" w:color="auto"/>
        <w:bottom w:val="none" w:sz="0" w:space="0" w:color="auto"/>
        <w:right w:val="none" w:sz="0" w:space="0" w:color="auto"/>
      </w:divBdr>
      <w:divsChild>
        <w:div w:id="2115513726">
          <w:marLeft w:val="0"/>
          <w:marRight w:val="0"/>
          <w:marTop w:val="0"/>
          <w:marBottom w:val="0"/>
          <w:divBdr>
            <w:top w:val="none" w:sz="0" w:space="0" w:color="auto"/>
            <w:left w:val="none" w:sz="0" w:space="0" w:color="auto"/>
            <w:bottom w:val="none" w:sz="0" w:space="0" w:color="auto"/>
            <w:right w:val="none" w:sz="0" w:space="0" w:color="auto"/>
          </w:divBdr>
          <w:divsChild>
            <w:div w:id="933854066">
              <w:marLeft w:val="0"/>
              <w:marRight w:val="0"/>
              <w:marTop w:val="0"/>
              <w:marBottom w:val="0"/>
              <w:divBdr>
                <w:top w:val="none" w:sz="0" w:space="0" w:color="auto"/>
                <w:left w:val="none" w:sz="0" w:space="0" w:color="auto"/>
                <w:bottom w:val="none" w:sz="0" w:space="0" w:color="auto"/>
                <w:right w:val="none" w:sz="0" w:space="0" w:color="auto"/>
              </w:divBdr>
              <w:divsChild>
                <w:div w:id="8935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7066">
      <w:bodyDiv w:val="1"/>
      <w:marLeft w:val="0"/>
      <w:marRight w:val="0"/>
      <w:marTop w:val="0"/>
      <w:marBottom w:val="0"/>
      <w:divBdr>
        <w:top w:val="none" w:sz="0" w:space="0" w:color="auto"/>
        <w:left w:val="none" w:sz="0" w:space="0" w:color="auto"/>
        <w:bottom w:val="none" w:sz="0" w:space="0" w:color="auto"/>
        <w:right w:val="none" w:sz="0" w:space="0" w:color="auto"/>
      </w:divBdr>
      <w:divsChild>
        <w:div w:id="1701589519">
          <w:marLeft w:val="0"/>
          <w:marRight w:val="0"/>
          <w:marTop w:val="0"/>
          <w:marBottom w:val="0"/>
          <w:divBdr>
            <w:top w:val="none" w:sz="0" w:space="0" w:color="auto"/>
            <w:left w:val="none" w:sz="0" w:space="0" w:color="auto"/>
            <w:bottom w:val="none" w:sz="0" w:space="0" w:color="auto"/>
            <w:right w:val="none" w:sz="0" w:space="0" w:color="auto"/>
          </w:divBdr>
          <w:divsChild>
            <w:div w:id="1730150926">
              <w:marLeft w:val="0"/>
              <w:marRight w:val="0"/>
              <w:marTop w:val="0"/>
              <w:marBottom w:val="0"/>
              <w:divBdr>
                <w:top w:val="none" w:sz="0" w:space="0" w:color="auto"/>
                <w:left w:val="none" w:sz="0" w:space="0" w:color="auto"/>
                <w:bottom w:val="none" w:sz="0" w:space="0" w:color="auto"/>
                <w:right w:val="none" w:sz="0" w:space="0" w:color="auto"/>
              </w:divBdr>
              <w:divsChild>
                <w:div w:id="18555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10</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Ram</dc:creator>
  <cp:keywords/>
  <dc:description/>
  <cp:lastModifiedBy>Microsoft Office User</cp:lastModifiedBy>
  <cp:revision>25</cp:revision>
  <dcterms:created xsi:type="dcterms:W3CDTF">2018-06-05T20:08:00Z</dcterms:created>
  <dcterms:modified xsi:type="dcterms:W3CDTF">2018-08-31T18:50:00Z</dcterms:modified>
</cp:coreProperties>
</file>